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exact" w:line="440" w:before="0" w:after="180"/>
        <w:jc w:val="center"/>
        <w:rPr>
          <w:rFonts w:ascii="Times New Roman" w:hAnsi="Times New Roman" w:eastAsia="標楷體" w:cs="Times New Roman"/>
          <w:b/>
          <w:color w:val="000000"/>
          <w:sz w:val="36"/>
        </w:rPr>
      </w:pPr>
      <w:r>
        <w:rPr>
          <w:rFonts w:ascii="Times New Roman" w:hAnsi="Times New Roman" w:cs="Times New Roman" w:eastAsia="標楷體"/>
          <w:b/>
          <w:color w:val="000000"/>
          <w:sz w:val="36"/>
        </w:rPr>
        <w:t>強化社會安全網計畫網絡專業人員</w:t>
      </w:r>
    </w:p>
    <w:p>
      <w:pPr>
        <w:pStyle w:val="BodyText"/>
        <w:spacing w:lineRule="exact" w:line="440" w:before="0" w:after="180"/>
        <w:jc w:val="center"/>
        <w:rPr>
          <w:rFonts w:ascii="Times New Roman" w:hAnsi="Times New Roman" w:eastAsia="標楷體" w:cs="Times New Roman"/>
          <w:b/>
          <w:color w:val="000000"/>
          <w:sz w:val="36"/>
        </w:rPr>
      </w:pPr>
      <w:r>
        <w:rPr>
          <w:rFonts w:ascii="Times New Roman" w:hAnsi="Times New Roman" w:cs="Times New Roman" w:eastAsia="標楷體"/>
          <w:b/>
          <w:color w:val="000000"/>
          <w:sz w:val="36"/>
        </w:rPr>
        <w:t>「性別議題」課程師資人才庫建置與維護作業計畫</w:t>
      </w:r>
    </w:p>
    <w:p>
      <w:pPr>
        <w:pStyle w:val="BodyText"/>
        <w:kinsoku w:val="false"/>
        <w:spacing w:lineRule="exact" w:line="440" w:before="0" w:after="180"/>
        <w:jc w:val="right"/>
        <w:rPr>
          <w:rFonts w:ascii="Times New Roman" w:hAnsi="Times New Roman" w:eastAsia="標楷體" w:cs="Times New Roman"/>
          <w:color w:val="000000"/>
          <w:sz w:val="22"/>
        </w:rPr>
      </w:pPr>
      <w:r>
        <w:rPr>
          <w:rFonts w:ascii="Times New Roman" w:hAnsi="Times New Roman" w:cs="Times New Roman" w:eastAsia="標楷體"/>
          <w:color w:val="000000"/>
          <w:sz w:val="22"/>
        </w:rPr>
        <w:t>衛生福利部</w:t>
      </w:r>
      <w:r>
        <w:rPr>
          <w:rFonts w:eastAsia="標楷體" w:cs="Times New Roman" w:ascii="Times New Roman" w:hAnsi="Times New Roman"/>
          <w:color w:val="000000"/>
          <w:sz w:val="22"/>
        </w:rPr>
        <w:t>113</w:t>
      </w:r>
      <w:r>
        <w:rPr>
          <w:rFonts w:ascii="Times New Roman" w:hAnsi="Times New Roman" w:cs="Times New Roman" w:eastAsia="標楷體"/>
          <w:color w:val="000000"/>
          <w:sz w:val="22"/>
        </w:rPr>
        <w:t>年</w:t>
      </w:r>
      <w:r>
        <w:rPr>
          <w:rFonts w:eastAsia="標楷體" w:cs="Times New Roman" w:ascii="Times New Roman" w:hAnsi="Times New Roman"/>
          <w:color w:val="000000"/>
          <w:sz w:val="22"/>
        </w:rPr>
        <w:t>5</w:t>
      </w:r>
      <w:r>
        <w:rPr>
          <w:rFonts w:ascii="Times New Roman" w:hAnsi="Times New Roman" w:cs="Times New Roman" w:eastAsia="標楷體"/>
          <w:color w:val="000000"/>
          <w:sz w:val="22"/>
        </w:rPr>
        <w:t>月</w:t>
      </w:r>
      <w:r>
        <w:rPr>
          <w:rFonts w:eastAsia="標楷體" w:cs="Times New Roman" w:ascii="Times New Roman" w:hAnsi="Times New Roman"/>
          <w:color w:val="000000"/>
          <w:sz w:val="22"/>
        </w:rPr>
        <w:t>14</w:t>
      </w:r>
      <w:r>
        <w:rPr>
          <w:rFonts w:ascii="Times New Roman" w:hAnsi="Times New Roman" w:cs="Times New Roman" w:eastAsia="標楷體"/>
          <w:color w:val="000000"/>
          <w:sz w:val="22"/>
        </w:rPr>
        <w:t>日衛授家字第</w:t>
      </w:r>
      <w:r>
        <w:rPr>
          <w:rFonts w:eastAsia="標楷體" w:cs="Times New Roman" w:ascii="Times New Roman" w:hAnsi="Times New Roman"/>
          <w:color w:val="000000"/>
          <w:sz w:val="22"/>
        </w:rPr>
        <w:t>1130560345</w:t>
      </w:r>
      <w:r>
        <w:rPr>
          <w:rFonts w:ascii="Times New Roman" w:hAnsi="Times New Roman" w:cs="Times New Roman" w:eastAsia="標楷體"/>
          <w:color w:val="000000"/>
          <w:sz w:val="22"/>
        </w:rPr>
        <w:t>號函訂定</w:t>
      </w:r>
    </w:p>
    <w:p>
      <w:pPr>
        <w:pStyle w:val="Style21"/>
        <w:numPr>
          <w:ilvl w:val="0"/>
          <w:numId w:val="1"/>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依據：依據衛生福利部（以下稱本部）</w:t>
      </w:r>
      <w:r>
        <w:rPr>
          <w:rFonts w:eastAsia="標楷體" w:cs="Times New Roman" w:ascii="Times New Roman" w:hAnsi="Times New Roman"/>
          <w:color w:val="000000"/>
          <w:sz w:val="32"/>
        </w:rPr>
        <w:t>113</w:t>
      </w:r>
      <w:r>
        <w:rPr>
          <w:rFonts w:ascii="Times New Roman" w:hAnsi="Times New Roman" w:cs="Times New Roman" w:eastAsia="標楷體"/>
          <w:color w:val="000000"/>
          <w:sz w:val="32"/>
        </w:rPr>
        <w:t>年</w:t>
      </w:r>
      <w:r>
        <w:rPr>
          <w:rFonts w:eastAsia="標楷體" w:cs="Times New Roman" w:ascii="Times New Roman" w:hAnsi="Times New Roman"/>
          <w:color w:val="000000"/>
          <w:sz w:val="32"/>
        </w:rPr>
        <w:t>2</w:t>
      </w:r>
      <w:r>
        <w:rPr>
          <w:rFonts w:ascii="Times New Roman" w:hAnsi="Times New Roman" w:cs="Times New Roman" w:eastAsia="標楷體"/>
          <w:color w:val="000000"/>
          <w:sz w:val="32"/>
        </w:rPr>
        <w:t>月</w:t>
      </w:r>
      <w:r>
        <w:rPr>
          <w:rFonts w:eastAsia="標楷體" w:cs="Times New Roman" w:ascii="Times New Roman" w:hAnsi="Times New Roman"/>
          <w:color w:val="000000"/>
          <w:sz w:val="32"/>
        </w:rPr>
        <w:t>17</w:t>
      </w:r>
      <w:r>
        <w:rPr>
          <w:rFonts w:ascii="Times New Roman" w:hAnsi="Times New Roman" w:cs="Times New Roman" w:eastAsia="標楷體"/>
          <w:color w:val="000000"/>
          <w:sz w:val="32"/>
        </w:rPr>
        <w:t>日召開衛生福利領域「性別議題」課程師資人才資料討論會議決議事項辦理。</w:t>
      </w:r>
    </w:p>
    <w:p>
      <w:pPr>
        <w:pStyle w:val="Style21"/>
        <w:numPr>
          <w:ilvl w:val="0"/>
          <w:numId w:val="1"/>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目的：</w:t>
      </w:r>
      <w:bookmarkStart w:id="0" w:name="_Hlk161748663"/>
      <w:r>
        <w:rPr>
          <w:rFonts w:ascii="Times New Roman" w:hAnsi="Times New Roman" w:cs="Times New Roman" w:eastAsia="標楷體"/>
          <w:color w:val="000000"/>
          <w:sz w:val="32"/>
        </w:rPr>
        <w:t>為落實及強化社會安全網計畫網絡專業人員性別平等知能、提升多元文化敏感度，本部建置性別議題課程師資人才庫，</w:t>
      </w:r>
      <w:bookmarkEnd w:id="0"/>
      <w:r>
        <w:rPr>
          <w:rFonts w:ascii="Times New Roman" w:hAnsi="Times New Roman" w:cs="Times New Roman" w:eastAsia="標楷體"/>
          <w:color w:val="000000"/>
          <w:sz w:val="32"/>
        </w:rPr>
        <w:t>並辦理維護相關作業，特訂定本計畫。</w:t>
      </w:r>
    </w:p>
    <w:p>
      <w:pPr>
        <w:pStyle w:val="Style21"/>
        <w:numPr>
          <w:ilvl w:val="0"/>
          <w:numId w:val="1"/>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師資人才庫建置標準：</w:t>
      </w:r>
    </w:p>
    <w:p>
      <w:pPr>
        <w:pStyle w:val="Style21"/>
        <w:numPr>
          <w:ilvl w:val="0"/>
          <w:numId w:val="2"/>
        </w:numPr>
        <w:spacing w:lineRule="exact" w:line="480"/>
        <w:ind w:hanging="763" w:left="1134"/>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專家學者應具備下列資歷條件之一：</w:t>
      </w:r>
    </w:p>
    <w:p>
      <w:pPr>
        <w:pStyle w:val="Style21"/>
        <w:numPr>
          <w:ilvl w:val="0"/>
          <w:numId w:val="3"/>
        </w:numPr>
        <w:spacing w:lineRule="exact" w:line="480"/>
        <w:ind w:hanging="992" w:left="156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現任或曾任行政院性別平等會、中央各部會性別平等專案小組，或地方政府性別平等事務相關委員會委員。</w:t>
      </w:r>
    </w:p>
    <w:p>
      <w:pPr>
        <w:pStyle w:val="Style21"/>
        <w:numPr>
          <w:ilvl w:val="0"/>
          <w:numId w:val="3"/>
        </w:numPr>
        <w:spacing w:lineRule="exact" w:line="480"/>
        <w:ind w:hanging="992" w:left="156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現任或退休之公職人員，曾擔任中央或地方機關性別主流化相關培訓之講師，或具女性權益、性別平等相關業務推動經驗者。</w:t>
      </w:r>
    </w:p>
    <w:p>
      <w:pPr>
        <w:pStyle w:val="Style21"/>
        <w:numPr>
          <w:ilvl w:val="0"/>
          <w:numId w:val="3"/>
        </w:numPr>
        <w:spacing w:lineRule="exact" w:line="480"/>
        <w:ind w:hanging="992" w:left="156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現任或曾任公私立研究、教學機構或各級學校之專家學者，具女性權益、性別平等相關研究、著作、出版、授課、演講等經驗者。</w:t>
      </w:r>
    </w:p>
    <w:p>
      <w:pPr>
        <w:pStyle w:val="Style21"/>
        <w:numPr>
          <w:ilvl w:val="0"/>
          <w:numId w:val="3"/>
        </w:numPr>
        <w:spacing w:lineRule="exact" w:line="480"/>
        <w:ind w:hanging="992" w:left="156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民間團體之資深實務人員或專業人士，長期關注性別主流化或性別平等議題，並具相關著作、方案執行、演講、倡議等經驗者。</w:t>
      </w:r>
    </w:p>
    <w:p>
      <w:pPr>
        <w:pStyle w:val="Style21"/>
        <w:numPr>
          <w:ilvl w:val="0"/>
          <w:numId w:val="2"/>
        </w:numPr>
        <w:spacing w:lineRule="exact" w:line="480"/>
        <w:ind w:hanging="763" w:left="1134"/>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推薦方式：由本部每二年函請下列單位依前款資格條件規定推薦合適人選並審查相關資料後，函送本部彙整：</w:t>
      </w:r>
    </w:p>
    <w:p>
      <w:pPr>
        <w:pStyle w:val="Style21"/>
        <w:numPr>
          <w:ilvl w:val="0"/>
          <w:numId w:val="4"/>
        </w:numPr>
        <w:tabs>
          <w:tab w:val="left" w:pos="1560" w:leader="none"/>
          <w:tab w:val="left" w:pos="1701" w:leader="none"/>
        </w:tabs>
        <w:spacing w:lineRule="exact" w:line="480"/>
        <w:ind w:left="118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本部各司（署）。</w:t>
      </w:r>
    </w:p>
    <w:p>
      <w:pPr>
        <w:pStyle w:val="Style21"/>
        <w:numPr>
          <w:ilvl w:val="0"/>
          <w:numId w:val="4"/>
        </w:numPr>
        <w:tabs>
          <w:tab w:val="left" w:pos="1560" w:leader="none"/>
          <w:tab w:val="left" w:pos="1701" w:leader="none"/>
        </w:tabs>
        <w:spacing w:lineRule="exact" w:line="480"/>
        <w:ind w:left="118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直轄市、縣（市）政府。</w:t>
      </w:r>
    </w:p>
    <w:p>
      <w:pPr>
        <w:pStyle w:val="Style21"/>
        <w:numPr>
          <w:ilvl w:val="0"/>
          <w:numId w:val="4"/>
        </w:numPr>
        <w:tabs>
          <w:tab w:val="left" w:pos="1560" w:leader="none"/>
          <w:tab w:val="left" w:pos="1701" w:leader="none"/>
        </w:tabs>
        <w:spacing w:lineRule="exact" w:line="480"/>
        <w:ind w:hanging="992" w:left="1701"/>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政府核准設立之大專院校或公私立研究機構之相關教學或研究單位。</w:t>
      </w:r>
    </w:p>
    <w:p>
      <w:pPr>
        <w:pStyle w:val="Style21"/>
        <w:numPr>
          <w:ilvl w:val="0"/>
          <w:numId w:val="4"/>
        </w:numPr>
        <w:tabs>
          <w:tab w:val="left" w:pos="1560" w:leader="none"/>
          <w:tab w:val="left" w:pos="1701" w:leader="none"/>
        </w:tabs>
        <w:spacing w:lineRule="exact" w:line="480"/>
        <w:ind w:hanging="992" w:left="1701"/>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政府核准立案之民間團體，其設立時間超過三年以上，且具女性權益或性別平等推動經驗。</w:t>
      </w:r>
    </w:p>
    <w:p>
      <w:pPr>
        <w:pStyle w:val="Style21"/>
        <w:numPr>
          <w:ilvl w:val="0"/>
          <w:numId w:val="2"/>
        </w:numPr>
        <w:spacing w:lineRule="exact" w:line="480"/>
        <w:ind w:hanging="763" w:left="1134"/>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除名原則：本人才庫中之專家學者若涉及下列情事者，經本部確認後，予以除名，並將決議理由及結果函知推薦單位知悉：</w:t>
      </w:r>
    </w:p>
    <w:p>
      <w:pPr>
        <w:pStyle w:val="Style21"/>
        <w:numPr>
          <w:ilvl w:val="0"/>
          <w:numId w:val="5"/>
        </w:numPr>
        <w:spacing w:lineRule="exact" w:line="480"/>
        <w:ind w:hanging="992" w:left="156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言行違反消除對婦女一切形式歧視公約（</w:t>
      </w:r>
      <w:r>
        <w:rPr>
          <w:rFonts w:eastAsia="標楷體" w:cs="Times New Roman" w:ascii="Times New Roman" w:hAnsi="Times New Roman"/>
          <w:color w:val="000000"/>
          <w:sz w:val="32"/>
        </w:rPr>
        <w:t>CEDAW</w:t>
      </w:r>
      <w:r>
        <w:rPr>
          <w:rFonts w:ascii="Times New Roman" w:hAnsi="Times New Roman" w:cs="Times New Roman" w:eastAsia="標楷體"/>
          <w:color w:val="000000"/>
          <w:sz w:val="32"/>
        </w:rPr>
        <w:t>）或不具性別平等意識，其情節重大者。</w:t>
      </w:r>
    </w:p>
    <w:p>
      <w:pPr>
        <w:pStyle w:val="Style21"/>
        <w:numPr>
          <w:ilvl w:val="0"/>
          <w:numId w:val="5"/>
        </w:numPr>
        <w:spacing w:lineRule="exact" w:line="480"/>
        <w:ind w:hanging="992" w:left="156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違反性別平等工作法、性別平等教育法、性騷擾防治法或跟蹤騷擾防制法等性別平等相關規定，且經權責機關處罰或其性騷擾行為調查成立者。</w:t>
      </w:r>
    </w:p>
    <w:p>
      <w:pPr>
        <w:pStyle w:val="Style21"/>
        <w:numPr>
          <w:ilvl w:val="0"/>
          <w:numId w:val="5"/>
        </w:numPr>
        <w:spacing w:lineRule="exact" w:line="480"/>
        <w:ind w:hanging="992" w:left="156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曾犯兒童及少年性交易防制條例之罪、兒童及少年性剝削防制條例之罪，經緩起訴處分或有罪判決確定。</w:t>
      </w:r>
    </w:p>
    <w:p>
      <w:pPr>
        <w:pStyle w:val="Style21"/>
        <w:numPr>
          <w:ilvl w:val="0"/>
          <w:numId w:val="5"/>
        </w:numPr>
        <w:spacing w:lineRule="exact" w:line="480"/>
        <w:ind w:hanging="992" w:left="156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原納入本人才庫之專家學者，需持續符合下列事項其一要件，作為本人才庫年度滾動式管理之審理與暫時解列原則：</w:t>
      </w:r>
    </w:p>
    <w:p>
      <w:pPr>
        <w:pStyle w:val="Style21"/>
        <w:numPr>
          <w:ilvl w:val="0"/>
          <w:numId w:val="6"/>
        </w:numPr>
        <w:spacing w:lineRule="exact" w:line="480"/>
        <w:ind w:hanging="568" w:left="1701"/>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最近二年曾參與政府機關</w:t>
      </w:r>
      <w:r>
        <w:rPr>
          <w:rFonts w:eastAsia="標楷體" w:cs="Times New Roman" w:ascii="Times New Roman" w:hAnsi="Times New Roman"/>
          <w:color w:val="000000"/>
          <w:sz w:val="32"/>
        </w:rPr>
        <w:t>/</w:t>
      </w:r>
      <w:r>
        <w:rPr>
          <w:rFonts w:ascii="Times New Roman" w:hAnsi="Times New Roman" w:cs="Times New Roman" w:eastAsia="標楷體"/>
          <w:color w:val="000000"/>
          <w:sz w:val="32"/>
        </w:rPr>
        <w:t>單位舉辦之性別相關政策說明會、研討會或研習活動。</w:t>
      </w:r>
    </w:p>
    <w:p>
      <w:pPr>
        <w:pStyle w:val="Style21"/>
        <w:numPr>
          <w:ilvl w:val="0"/>
          <w:numId w:val="6"/>
        </w:numPr>
        <w:spacing w:lineRule="exact" w:line="480"/>
        <w:ind w:hanging="568" w:left="1701"/>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最近二年曾協助政府機關</w:t>
      </w:r>
      <w:r>
        <w:rPr>
          <w:rFonts w:eastAsia="標楷體" w:cs="Times New Roman" w:ascii="Times New Roman" w:hAnsi="Times New Roman"/>
          <w:color w:val="000000"/>
          <w:sz w:val="32"/>
        </w:rPr>
        <w:t>/</w:t>
      </w:r>
      <w:r>
        <w:rPr>
          <w:rFonts w:ascii="Times New Roman" w:hAnsi="Times New Roman" w:cs="Times New Roman" w:eastAsia="標楷體"/>
          <w:color w:val="000000"/>
          <w:sz w:val="32"/>
        </w:rPr>
        <w:t>單位進行「性別影響評估」之政策分析或提供諮詢意見。</w:t>
      </w:r>
    </w:p>
    <w:p>
      <w:pPr>
        <w:pStyle w:val="Style21"/>
        <w:numPr>
          <w:ilvl w:val="0"/>
          <w:numId w:val="6"/>
        </w:numPr>
        <w:spacing w:lineRule="exact" w:line="480"/>
        <w:ind w:hanging="568" w:left="1701"/>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最近二年曾參與民間團體相關性別議題倡導或專案執行，並有具體事蹟者。</w:t>
      </w:r>
    </w:p>
    <w:p>
      <w:pPr>
        <w:pStyle w:val="Style21"/>
        <w:numPr>
          <w:ilvl w:val="0"/>
          <w:numId w:val="6"/>
        </w:numPr>
        <w:spacing w:lineRule="exact" w:line="480"/>
        <w:ind w:hanging="568" w:left="1701"/>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最近二年曾從事性別相關著作、研究、出版、授課或演講。</w:t>
      </w:r>
    </w:p>
    <w:p>
      <w:pPr>
        <w:pStyle w:val="Style21"/>
        <w:numPr>
          <w:ilvl w:val="0"/>
          <w:numId w:val="2"/>
        </w:numPr>
        <w:spacing w:lineRule="exact" w:line="480"/>
        <w:ind w:hanging="763" w:left="1134"/>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專家學者得於除名原因消除後，依第二款推薦方式，重新納入本人才庫。</w:t>
      </w:r>
    </w:p>
    <w:p>
      <w:pPr>
        <w:pStyle w:val="Style21"/>
        <w:numPr>
          <w:ilvl w:val="0"/>
          <w:numId w:val="1"/>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資訊公開：本人才庫中之專家學者名單，經簽署「蒐集個人資料告知事項暨個人資料提供同意書」（如附錄）後，即公布於</w:t>
      </w:r>
      <w:bookmarkStart w:id="1" w:name="_Hlk161749690"/>
      <w:r>
        <w:rPr>
          <w:rFonts w:ascii="Times New Roman" w:hAnsi="Times New Roman" w:cs="Times New Roman" w:eastAsia="標楷體"/>
          <w:color w:val="000000"/>
          <w:sz w:val="32"/>
        </w:rPr>
        <w:t>「強化社會安全網計畫」</w:t>
      </w:r>
      <w:bookmarkEnd w:id="1"/>
      <w:r>
        <w:rPr>
          <w:rFonts w:ascii="Times New Roman" w:hAnsi="Times New Roman" w:cs="Times New Roman" w:eastAsia="標楷體"/>
          <w:color w:val="000000"/>
          <w:sz w:val="32"/>
        </w:rPr>
        <w:t>網站相關業務專區，供網絡相關單位參酌運用；人才庫格式，如附件。</w:t>
      </w:r>
    </w:p>
    <w:p>
      <w:pPr>
        <w:pStyle w:val="Style21"/>
        <w:numPr>
          <w:ilvl w:val="0"/>
          <w:numId w:val="1"/>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維護作業：</w:t>
      </w:r>
    </w:p>
    <w:p>
      <w:pPr>
        <w:pStyle w:val="Style21"/>
        <w:numPr>
          <w:ilvl w:val="0"/>
          <w:numId w:val="7"/>
        </w:numPr>
        <w:spacing w:lineRule="exact" w:line="480"/>
        <w:ind w:hanging="763" w:left="1134"/>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專家學者個人資料（包含現職、學歷、經歷、聯繫方式、專長等）有異動或更正必要者，應由原推薦單位或受推薦之專家學者本人主動通知本部進行更正或補充。</w:t>
      </w:r>
    </w:p>
    <w:p>
      <w:pPr>
        <w:pStyle w:val="Style21"/>
        <w:numPr>
          <w:ilvl w:val="0"/>
          <w:numId w:val="7"/>
        </w:numPr>
        <w:spacing w:lineRule="exact" w:line="480"/>
        <w:ind w:hanging="763" w:left="1134"/>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本部對於本人才庫進行滾動式管理，至少每年一次通知人才庫之專家學者檢覆及確認資料之正確性，並每二年發函請各推薦單位推薦合適人選。</w:t>
      </w:r>
    </w:p>
    <w:p>
      <w:pPr>
        <w:pStyle w:val="Style21"/>
        <w:numPr>
          <w:ilvl w:val="0"/>
          <w:numId w:val="1"/>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本計畫奉核定後實施，修正時亦同。</w:t>
      </w:r>
    </w:p>
    <w:p>
      <w:pPr>
        <w:pStyle w:val="BodyText"/>
        <w:spacing w:lineRule="exact" w:line="480"/>
        <w:jc w:val="both"/>
        <w:rPr>
          <w:rFonts w:ascii="Times New Roman" w:hAnsi="Times New Roman" w:eastAsia="標楷體" w:cs="Times New Roman"/>
          <w:color w:val="000000"/>
          <w:sz w:val="32"/>
        </w:rPr>
      </w:pPr>
      <w:r>
        <w:rPr>
          <w:rFonts w:eastAsia="標楷體" w:cs="Times New Roman" w:ascii="Times New Roman" w:hAnsi="Times New Roman"/>
          <w:color w:val="000000"/>
          <w:sz w:val="32"/>
        </w:rPr>
      </w:r>
      <w:r>
        <w:br w:type="page"/>
      </w:r>
    </w:p>
    <w:p>
      <w:pPr>
        <w:pStyle w:val="BodyText"/>
        <w:widowControl/>
        <w:rPr>
          <w:rFonts w:ascii="Times New Roman" w:hAnsi="Times New Roman" w:eastAsia="標楷體" w:cs="Times New Roman"/>
          <w:color w:val="000000"/>
          <w:sz w:val="32"/>
        </w:rPr>
      </w:pPr>
      <w:r>
        <w:rPr>
          <w:rFonts w:eastAsia="標楷體" w:cs="Times New Roman" w:ascii="Times New Roman" w:hAnsi="Times New Roman"/>
          <w:color w:val="000000"/>
          <w:sz w:val="32"/>
        </w:rPr>
      </w:r>
    </w:p>
    <w:p>
      <w:pPr>
        <w:pStyle w:val="BodyText"/>
        <w:spacing w:lineRule="exact" w:line="480"/>
        <w:jc w:val="both"/>
        <w:rPr/>
      </w:pPr>
      <w:r>
        <w:rPr>
          <w:rStyle w:val="Style14"/>
          <w:rFonts w:ascii="Times New Roman" w:hAnsi="Times New Roman" w:cs="Times New Roman" w:eastAsia="標楷體"/>
          <w:color w:val="000000"/>
          <w:sz w:val="32"/>
        </w:rPr>
        <w:t>附錄：蒐集個人資料告知事項暨個人資料提供同意書</w:t>
      </w:r>
    </w:p>
    <w:p>
      <w:pPr>
        <w:pStyle w:val="BodyText"/>
        <w:spacing w:lineRule="exact" w:line="480" w:before="180" w:after="0"/>
        <w:jc w:val="both"/>
        <w:rPr>
          <w:rFonts w:ascii="Times New Roman" w:hAnsi="Times New Roman" w:eastAsia="標楷體" w:cs="Times New Roman"/>
          <w:b/>
          <w:color w:val="000000"/>
          <w:sz w:val="32"/>
        </w:rPr>
      </w:pPr>
      <w:r>
        <w:rPr>
          <w:rFonts w:ascii="Times New Roman" w:hAnsi="Times New Roman" w:cs="Times New Roman" w:eastAsia="標楷體"/>
          <w:b/>
          <w:color w:val="000000"/>
          <w:sz w:val="32"/>
        </w:rPr>
        <w:t>蒐集個人資料告知事項：</w:t>
      </w:r>
    </w:p>
    <w:p>
      <w:pPr>
        <w:pStyle w:val="BodyText"/>
        <w:spacing w:lineRule="exact" w:line="48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衛生福利部（以下稱本部）為遵守個人資料保護法規定，在您提供個人資料予本部前，依法告知下列事項：</w:t>
      </w:r>
    </w:p>
    <w:p>
      <w:pPr>
        <w:pStyle w:val="Style21"/>
        <w:numPr>
          <w:ilvl w:val="0"/>
          <w:numId w:val="8"/>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蒐集之目的：為落實及強化社會安全網計畫網絡專業人員性別平等知能、提升多元文化敏感度，本部將依個人資料保護法及相關法令之規定下，依本部隱私權保護政策，蒐集、處理及利用您的個人資料，俾供各網絡單位辦理教育或訓練相關業務參用。</w:t>
      </w:r>
    </w:p>
    <w:p>
      <w:pPr>
        <w:pStyle w:val="Style21"/>
        <w:numPr>
          <w:ilvl w:val="0"/>
          <w:numId w:val="8"/>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蒐集之個人資料類別：識別類（例如：姓名、現職、市話</w:t>
      </w:r>
      <w:r>
        <w:rPr>
          <w:rFonts w:eastAsia="標楷體" w:cs="Times New Roman" w:ascii="Times New Roman" w:hAnsi="Times New Roman"/>
          <w:color w:val="000000"/>
          <w:sz w:val="32"/>
        </w:rPr>
        <w:t>/</w:t>
      </w:r>
      <w:r>
        <w:rPr>
          <w:rFonts w:ascii="Times New Roman" w:hAnsi="Times New Roman" w:cs="Times New Roman" w:eastAsia="標楷體"/>
          <w:color w:val="000000"/>
          <w:sz w:val="32"/>
        </w:rPr>
        <w:t>行動電話、電子信箱）及符合蒐集目的之各項個人資料類別等。</w:t>
      </w:r>
    </w:p>
    <w:p>
      <w:pPr>
        <w:pStyle w:val="Style21"/>
        <w:numPr>
          <w:ilvl w:val="0"/>
          <w:numId w:val="8"/>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個人資料利用之期間、地區、對象及方式：</w:t>
      </w:r>
    </w:p>
    <w:p>
      <w:pPr>
        <w:pStyle w:val="Style21"/>
        <w:numPr>
          <w:ilvl w:val="0"/>
          <w:numId w:val="9"/>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期間：個人資料蒐集之特定目的存續期間，依相關法令規定或本部因執行業務所必須之保存年限。</w:t>
      </w:r>
    </w:p>
    <w:p>
      <w:pPr>
        <w:pStyle w:val="Style21"/>
        <w:numPr>
          <w:ilvl w:val="0"/>
          <w:numId w:val="9"/>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地區：除蒐集之目的涉及國際業務或活動外，本部僅於中華民國領域內裡用您的個人資料。</w:t>
      </w:r>
    </w:p>
    <w:p>
      <w:pPr>
        <w:pStyle w:val="Style21"/>
        <w:numPr>
          <w:ilvl w:val="0"/>
          <w:numId w:val="9"/>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對象：本部及其他與本部有業務往來之公務及非公務機關。</w:t>
      </w:r>
    </w:p>
    <w:p>
      <w:pPr>
        <w:pStyle w:val="Style21"/>
        <w:numPr>
          <w:ilvl w:val="0"/>
          <w:numId w:val="9"/>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方式：以自動化機器或其他非自動化之利用方式。</w:t>
      </w:r>
    </w:p>
    <w:p>
      <w:pPr>
        <w:pStyle w:val="Style21"/>
        <w:numPr>
          <w:ilvl w:val="0"/>
          <w:numId w:val="8"/>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您可依個人資料保護法第三條規定，就您的個人資料，隨時以書面向本部行使下列權利：</w:t>
      </w:r>
    </w:p>
    <w:p>
      <w:pPr>
        <w:pStyle w:val="Style21"/>
        <w:numPr>
          <w:ilvl w:val="0"/>
          <w:numId w:val="10"/>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查詢或請求閱覽。</w:t>
      </w:r>
    </w:p>
    <w:p>
      <w:pPr>
        <w:pStyle w:val="Style21"/>
        <w:numPr>
          <w:ilvl w:val="0"/>
          <w:numId w:val="10"/>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請求製給複製本。</w:t>
      </w:r>
    </w:p>
    <w:p>
      <w:pPr>
        <w:pStyle w:val="Style21"/>
        <w:numPr>
          <w:ilvl w:val="0"/>
          <w:numId w:val="10"/>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請求補充或更正。</w:t>
      </w:r>
    </w:p>
    <w:p>
      <w:pPr>
        <w:pStyle w:val="Style21"/>
        <w:numPr>
          <w:ilvl w:val="0"/>
          <w:numId w:val="10"/>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請求停止蒐集、處理或利用。</w:t>
      </w:r>
    </w:p>
    <w:p>
      <w:pPr>
        <w:pStyle w:val="Style21"/>
        <w:numPr>
          <w:ilvl w:val="0"/>
          <w:numId w:val="10"/>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請求刪除。</w:t>
      </w:r>
    </w:p>
    <w:p>
      <w:pPr>
        <w:pStyle w:val="BodyText"/>
        <w:tabs>
          <w:tab w:val="clear" w:pos="480"/>
        </w:tabs>
        <w:spacing w:lineRule="exact" w:line="480"/>
        <w:ind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您因行使上述權利而導致對您的權益產生減損時，本部不負相關賠償責任。</w:t>
      </w:r>
    </w:p>
    <w:p>
      <w:pPr>
        <w:pStyle w:val="Style21"/>
        <w:numPr>
          <w:ilvl w:val="0"/>
          <w:numId w:val="8"/>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個人資料之提供：</w:t>
      </w:r>
    </w:p>
    <w:p>
      <w:pPr>
        <w:pStyle w:val="Style21"/>
        <w:numPr>
          <w:ilvl w:val="0"/>
          <w:numId w:val="11"/>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請提供您正確、最新及完整的個人資料，若您的個人資料有任何異動，請主動向本部申請更正。</w:t>
      </w:r>
    </w:p>
    <w:p>
      <w:pPr>
        <w:pStyle w:val="Style21"/>
        <w:numPr>
          <w:ilvl w:val="0"/>
          <w:numId w:val="11"/>
        </w:numPr>
        <w:spacing w:lineRule="exact" w:line="480"/>
        <w:ind w:hanging="1047" w:left="1276"/>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若您提供錯誤、過時、不完整或具誤導性的資料而損及您的相關權益，本部將不負相關賠償責任。</w:t>
      </w:r>
    </w:p>
    <w:p>
      <w:pPr>
        <w:pStyle w:val="Style21"/>
        <w:numPr>
          <w:ilvl w:val="0"/>
          <w:numId w:val="8"/>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相關資料將顯示於本部「強化社會安全網計畫」網站相關業務專區，接受各辦訓需求單位依其教育或訓練需求邀請，進行與業務相關之性別平等意識之授課及演講。</w:t>
      </w:r>
    </w:p>
    <w:p>
      <w:pPr>
        <w:pStyle w:val="Style21"/>
        <w:numPr>
          <w:ilvl w:val="0"/>
          <w:numId w:val="8"/>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本部因業務需要而委託其他機關處理您的個人資料時，將善盡監督之責。</w:t>
      </w:r>
    </w:p>
    <w:p>
      <w:pPr>
        <w:pStyle w:val="Style21"/>
        <w:numPr>
          <w:ilvl w:val="0"/>
          <w:numId w:val="8"/>
        </w:numPr>
        <w:spacing w:lineRule="exact" w:line="480"/>
        <w:ind w:hanging="709" w:left="709"/>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您瞭解此一同意書符合個人資料保護法及相關法規之要求，且同意本部留存此同意書，供日後取出查驗。</w:t>
      </w:r>
    </w:p>
    <w:p>
      <w:pPr>
        <w:pStyle w:val="BodyText"/>
        <w:spacing w:lineRule="exact" w:line="480" w:before="180" w:after="0"/>
        <w:jc w:val="both"/>
        <w:rPr>
          <w:rFonts w:ascii="Times New Roman" w:hAnsi="Times New Roman" w:eastAsia="標楷體" w:cs="Times New Roman"/>
          <w:b/>
          <w:color w:val="000000"/>
          <w:sz w:val="32"/>
        </w:rPr>
      </w:pPr>
      <w:r>
        <w:rPr>
          <w:rFonts w:ascii="Times New Roman" w:hAnsi="Times New Roman" w:cs="Times New Roman" w:eastAsia="標楷體"/>
          <w:b/>
          <w:color w:val="000000"/>
          <w:sz w:val="32"/>
        </w:rPr>
        <w:t>個人資料之同意提供：</w:t>
      </w:r>
    </w:p>
    <w:p>
      <w:pPr>
        <w:pStyle w:val="Style21"/>
        <w:numPr>
          <w:ilvl w:val="0"/>
          <w:numId w:val="12"/>
        </w:numPr>
        <w:spacing w:lineRule="exact" w:line="480"/>
        <w:ind w:left="72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本人已充分知悉貴部上述告知事項。</w:t>
      </w:r>
    </w:p>
    <w:p>
      <w:pPr>
        <w:pStyle w:val="Style21"/>
        <w:numPr>
          <w:ilvl w:val="0"/>
          <w:numId w:val="12"/>
        </w:numPr>
        <w:spacing w:lineRule="exact" w:line="480"/>
        <w:ind w:left="720"/>
        <w:jc w:val="both"/>
        <w:rPr>
          <w:rFonts w:ascii="Times New Roman" w:hAnsi="Times New Roman" w:eastAsia="標楷體" w:cs="Times New Roman"/>
          <w:color w:val="000000"/>
          <w:sz w:val="32"/>
        </w:rPr>
      </w:pPr>
      <w:r>
        <w:rPr>
          <w:rFonts w:ascii="Times New Roman" w:hAnsi="Times New Roman" w:cs="Times New Roman" w:eastAsia="標楷體"/>
          <w:color w:val="000000"/>
          <w:sz w:val="32"/>
        </w:rPr>
        <w:t>本人同意貴部蒐集、處理、利用本人之個人資料。</w:t>
      </w:r>
    </w:p>
    <w:p>
      <w:pPr>
        <w:pStyle w:val="BodyText"/>
        <w:spacing w:lineRule="exact" w:line="480" w:before="900" w:after="0"/>
        <w:jc w:val="right"/>
        <w:rPr/>
      </w:pPr>
      <w:r>
        <w:rPr>
          <w:rStyle w:val="Style14"/>
          <w:rFonts w:ascii="Times New Roman" w:hAnsi="Times New Roman" w:cs="Times New Roman" w:eastAsia="標楷體"/>
          <w:b/>
          <w:color w:val="000000"/>
          <w:sz w:val="32"/>
        </w:rPr>
        <w:t>立同意書人：</w:t>
      </w:r>
      <w:r>
        <w:rPr>
          <w:rStyle w:val="Style14"/>
          <w:rFonts w:ascii="Times New Roman" w:hAnsi="Times New Roman" w:cs="Times New Roman" w:eastAsia="標楷體"/>
          <w:color w:val="000000"/>
          <w:sz w:val="32"/>
        </w:rPr>
        <w:t xml:space="preserve">                  </w:t>
      </w:r>
      <w:r>
        <w:rPr>
          <w:rStyle w:val="Style14"/>
          <w:rFonts w:eastAsia="標楷體" w:cs="Times New Roman" w:ascii="Times New Roman" w:hAnsi="Times New Roman"/>
          <w:color w:val="000000"/>
          <w:sz w:val="32"/>
        </w:rPr>
        <w:t>(</w:t>
      </w:r>
      <w:r>
        <w:rPr>
          <w:rStyle w:val="Style14"/>
          <w:rFonts w:ascii="Times New Roman" w:hAnsi="Times New Roman" w:cs="Times New Roman" w:eastAsia="標楷體"/>
          <w:color w:val="000000"/>
          <w:sz w:val="32"/>
        </w:rPr>
        <w:t>簽章</w:t>
      </w:r>
      <w:r>
        <w:rPr>
          <w:rStyle w:val="Style14"/>
          <w:rFonts w:eastAsia="標楷體" w:cs="Times New Roman" w:ascii="Times New Roman" w:hAnsi="Times New Roman"/>
          <w:color w:val="000000"/>
          <w:sz w:val="32"/>
        </w:rPr>
        <w:t>)</w:t>
      </w:r>
    </w:p>
    <w:p>
      <w:pPr>
        <w:pStyle w:val="BodyText"/>
        <w:spacing w:lineRule="exact" w:line="480" w:before="720" w:after="0"/>
        <w:jc w:val="left"/>
        <w:rPr>
          <w:rFonts w:ascii="Times New Roman" w:hAnsi="Times New Roman" w:eastAsia="標楷體" w:cs="Times New Roman"/>
          <w:color w:val="000000"/>
          <w:sz w:val="28"/>
        </w:rPr>
      </w:pPr>
      <w:r>
        <w:rPr>
          <w:rFonts w:ascii="Times New Roman" w:hAnsi="Times New Roman" w:cs="Times New Roman" w:eastAsia="標楷體"/>
          <w:color w:val="000000"/>
          <w:sz w:val="28"/>
        </w:rPr>
        <w:t>中華民國  年  月  日</w:t>
      </w:r>
    </w:p>
    <w:p>
      <w:pPr>
        <w:pStyle w:val="BodyText"/>
        <w:spacing w:lineRule="exact" w:line="480" w:before="720" w:after="0"/>
        <w:rPr>
          <w:rFonts w:ascii="Times New Roman" w:hAnsi="Times New Roman" w:eastAsia="標楷體" w:cs="Times New Roman"/>
          <w:color w:val="000000"/>
          <w:sz w:val="28"/>
        </w:rPr>
        <w:sectPr>
          <w:footerReference w:type="default" r:id="rId2"/>
          <w:type w:val="nextPage"/>
          <w:pgSz w:w="11906" w:h="16838"/>
          <w:pgMar w:left="1440" w:right="1440" w:gutter="0" w:header="0" w:top="568" w:footer="715" w:bottom="1440"/>
          <w:pgNumType w:fmt="decimal"/>
          <w:formProt w:val="false"/>
          <w:textDirection w:val="lrTb"/>
          <w:docGrid w:type="lines" w:linePitch="600" w:charSpace="4294938623"/>
        </w:sectPr>
      </w:pPr>
      <w:r>
        <w:rPr>
          <w:rFonts w:eastAsia="標楷體" w:cs="Times New Roman" w:ascii="Times New Roman" w:hAnsi="Times New Roman"/>
          <w:color w:val="000000"/>
          <w:sz w:val="28"/>
        </w:rPr>
      </w:r>
      <w:r>
        <w:br w:type="page"/>
      </w:r>
    </w:p>
    <w:p>
      <w:pPr>
        <w:pStyle w:val="BodyText"/>
        <w:spacing w:lineRule="exact" w:line="480"/>
        <w:rPr>
          <w:rFonts w:ascii="標楷體" w:hAnsi="標楷體" w:eastAsia="標楷體" w:cs="Times New Roman"/>
          <w:color w:val="000000"/>
          <w:sz w:val="28"/>
          <w:szCs w:val="32"/>
        </w:rPr>
      </w:pPr>
      <w:r>
        <w:rPr>
          <w:rFonts w:ascii="標楷體" w:hAnsi="標楷體" w:cs="Times New Roman" w:eastAsia="標楷體"/>
          <w:color w:val="000000"/>
          <w:sz w:val="28"/>
          <w:szCs w:val="32"/>
        </w:rPr>
        <w:t>附件：強化社會安全網計畫網絡專業人員「性別議題」課程師資人才庫</w:t>
      </w:r>
    </w:p>
    <w:tbl>
      <w:tblPr>
        <w:tblW w:w="21539" w:type="dxa"/>
        <w:jc w:val="left"/>
        <w:tblInd w:w="28" w:type="dxa"/>
        <w:tblLayout w:type="fixed"/>
        <w:tblCellMar>
          <w:top w:w="0" w:type="dxa"/>
          <w:left w:w="28" w:type="dxa"/>
          <w:bottom w:w="0" w:type="dxa"/>
          <w:right w:w="28" w:type="dxa"/>
        </w:tblCellMar>
      </w:tblPr>
      <w:tblGrid>
        <w:gridCol w:w="562"/>
        <w:gridCol w:w="1047"/>
        <w:gridCol w:w="1795"/>
        <w:gridCol w:w="898"/>
        <w:gridCol w:w="3631"/>
        <w:gridCol w:w="2369"/>
        <w:gridCol w:w="1797"/>
        <w:gridCol w:w="3797"/>
        <w:gridCol w:w="4245"/>
        <w:gridCol w:w="1398"/>
      </w:tblGrid>
      <w:tr>
        <w:trPr>
          <w:trHeight w:val="412" w:hRule="atLeast"/>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編號　</w:t>
            </w:r>
          </w:p>
        </w:tc>
        <w:tc>
          <w:tcPr>
            <w:tcW w:w="1047" w:type="dxa"/>
            <w:vMerge w:val="restart"/>
            <w:tcBorders>
              <w:top w:val="single" w:sz="4" w:space="0" w:color="000000"/>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姓名　</w:t>
            </w:r>
          </w:p>
        </w:tc>
        <w:tc>
          <w:tcPr>
            <w:tcW w:w="2693" w:type="dxa"/>
            <w:gridSpan w:val="2"/>
            <w:tcBorders>
              <w:top w:val="single" w:sz="4" w:space="0" w:color="000000"/>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現職</w:t>
            </w:r>
          </w:p>
        </w:tc>
        <w:tc>
          <w:tcPr>
            <w:tcW w:w="3631" w:type="dxa"/>
            <w:vMerge w:val="restart"/>
            <w:tcBorders>
              <w:top w:val="single" w:sz="4" w:space="0" w:color="000000"/>
              <w:bottom w:val="single" w:sz="4" w:space="0" w:color="000000"/>
              <w:right w:val="single" w:sz="4" w:space="0" w:color="000000"/>
            </w:tcBorders>
            <w:vAlign w:val="center"/>
          </w:tcPr>
          <w:p>
            <w:pPr>
              <w:pStyle w:val="BodyText"/>
              <w:widowControl/>
              <w:spacing w:lineRule="exact" w:line="40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性別議題與</w:t>
            </w:r>
          </w:p>
          <w:p>
            <w:pPr>
              <w:pStyle w:val="BodyText"/>
              <w:widowControl/>
              <w:spacing w:lineRule="exact" w:line="40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專長類別</w:t>
            </w:r>
          </w:p>
        </w:tc>
        <w:tc>
          <w:tcPr>
            <w:tcW w:w="2369" w:type="dxa"/>
            <w:vMerge w:val="restart"/>
            <w:tcBorders>
              <w:top w:val="single" w:sz="4" w:space="0" w:color="000000"/>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可授課之專長領域</w:t>
            </w:r>
          </w:p>
        </w:tc>
        <w:tc>
          <w:tcPr>
            <w:tcW w:w="5594" w:type="dxa"/>
            <w:gridSpan w:val="2"/>
            <w:tcBorders>
              <w:top w:val="single" w:sz="4" w:space="0" w:color="000000"/>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可公開</w:t>
            </w:r>
          </w:p>
        </w:tc>
        <w:tc>
          <w:tcPr>
            <w:tcW w:w="4245" w:type="dxa"/>
            <w:vMerge w:val="restart"/>
            <w:tcBorders>
              <w:top w:val="single" w:sz="4" w:space="0" w:color="000000"/>
              <w:bottom w:val="single" w:sz="4" w:space="0" w:color="000000"/>
              <w:right w:val="single" w:sz="4" w:space="0" w:color="000000"/>
            </w:tcBorders>
          </w:tcPr>
          <w:p>
            <w:pPr>
              <w:pStyle w:val="BodyText"/>
              <w:widowControl/>
              <w:spacing w:lineRule="exact" w:line="40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近</w:t>
            </w:r>
            <w:r>
              <w:rPr>
                <w:rFonts w:eastAsia="標楷體" w:cs="新細明體" w:ascii="標楷體" w:hAnsi="標楷體"/>
                <w:color w:val="000000"/>
                <w:kern w:val="0"/>
                <w:szCs w:val="24"/>
              </w:rPr>
              <w:t>2</w:t>
            </w:r>
            <w:r>
              <w:rPr>
                <w:rFonts w:ascii="標楷體" w:hAnsi="標楷體" w:cs="新細明體" w:eastAsia="標楷體"/>
                <w:color w:val="000000"/>
                <w:kern w:val="0"/>
                <w:szCs w:val="24"/>
              </w:rPr>
              <w:t>年（</w:t>
            </w:r>
            <w:r>
              <w:rPr>
                <w:rFonts w:eastAsia="標楷體" w:cs="新細明體" w:ascii="標楷體" w:hAnsi="標楷體"/>
                <w:color w:val="000000"/>
                <w:kern w:val="0"/>
                <w:szCs w:val="24"/>
              </w:rPr>
              <w:t>113</w:t>
            </w:r>
            <w:r>
              <w:rPr>
                <w:rFonts w:ascii="標楷體" w:hAnsi="標楷體" w:cs="新細明體" w:eastAsia="標楷體"/>
                <w:color w:val="000000"/>
                <w:kern w:val="0"/>
                <w:szCs w:val="24"/>
              </w:rPr>
              <w:t>、</w:t>
            </w:r>
            <w:r>
              <w:rPr>
                <w:rFonts w:eastAsia="標楷體" w:cs="新細明體" w:ascii="標楷體" w:hAnsi="標楷體"/>
                <w:color w:val="000000"/>
                <w:kern w:val="0"/>
                <w:szCs w:val="24"/>
              </w:rPr>
              <w:t>114</w:t>
            </w:r>
            <w:r>
              <w:rPr>
                <w:rFonts w:ascii="標楷體" w:hAnsi="標楷體" w:cs="新細明體" w:eastAsia="標楷體"/>
                <w:color w:val="000000"/>
                <w:kern w:val="0"/>
                <w:szCs w:val="24"/>
              </w:rPr>
              <w:t>年）有符合本計畫第</w:t>
            </w:r>
            <w:r>
              <w:rPr>
                <w:rFonts w:eastAsia="標楷體" w:cs="新細明體" w:ascii="標楷體" w:hAnsi="標楷體"/>
                <w:color w:val="000000"/>
                <w:kern w:val="0"/>
                <w:szCs w:val="24"/>
              </w:rPr>
              <w:t>3</w:t>
            </w:r>
            <w:r>
              <w:rPr>
                <w:rFonts w:ascii="標楷體" w:hAnsi="標楷體" w:cs="新細明體" w:eastAsia="標楷體"/>
                <w:color w:val="000000"/>
                <w:kern w:val="0"/>
                <w:szCs w:val="24"/>
              </w:rPr>
              <w:t>點第</w:t>
            </w:r>
            <w:r>
              <w:rPr>
                <w:rFonts w:eastAsia="標楷體" w:cs="新細明體" w:ascii="標楷體" w:hAnsi="標楷體"/>
                <w:color w:val="000000"/>
                <w:kern w:val="0"/>
                <w:szCs w:val="24"/>
              </w:rPr>
              <w:t>1</w:t>
            </w:r>
            <w:r>
              <w:rPr>
                <w:rFonts w:ascii="標楷體" w:hAnsi="標楷體" w:cs="新細明體" w:eastAsia="標楷體"/>
                <w:color w:val="000000"/>
                <w:kern w:val="0"/>
                <w:szCs w:val="24"/>
              </w:rPr>
              <w:t>項之資歷條件（請填寫符合的款次），並簡述之</w:t>
            </w:r>
          </w:p>
        </w:tc>
        <w:tc>
          <w:tcPr>
            <w:tcW w:w="1398" w:type="dxa"/>
            <w:vMerge w:val="restart"/>
            <w:tcBorders>
              <w:top w:val="single" w:sz="4" w:space="0" w:color="000000"/>
              <w:left w:val="single" w:sz="4" w:space="0" w:color="000000"/>
              <w:bottom w:val="single" w:sz="4" w:space="0" w:color="000000"/>
              <w:right w:val="single" w:sz="4" w:space="0" w:color="000000"/>
            </w:tcBorders>
            <w:vAlign w:val="center"/>
          </w:tcPr>
          <w:p>
            <w:pPr>
              <w:pStyle w:val="BodyText"/>
              <w:widowControl/>
              <w:spacing w:lineRule="exact" w:line="40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推薦</w:t>
            </w:r>
          </w:p>
          <w:p>
            <w:pPr>
              <w:pStyle w:val="BodyText"/>
              <w:widowControl/>
              <w:spacing w:lineRule="exact" w:line="40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單位　</w:t>
            </w:r>
          </w:p>
        </w:tc>
      </w:tr>
      <w:tr>
        <w:trPr>
          <w:trHeight w:val="412" w:hRule="atLeast"/>
        </w:trPr>
        <w:tc>
          <w:tcPr>
            <w:tcW w:w="56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47" w:type="dxa"/>
            <w:vMerge w:val="continue"/>
            <w:tcBorders>
              <w:top w:val="single" w:sz="4" w:space="0" w:color="000000"/>
              <w:bottom w:val="single" w:sz="4" w:space="0" w:color="000000"/>
              <w:right w:val="single" w:sz="4" w:space="0" w:color="000000"/>
            </w:tcBorders>
            <w:vAlign w:val="center"/>
          </w:tcPr>
          <w:p>
            <w:pPr>
              <w:pStyle w:val="Normal"/>
              <w:rPr/>
            </w:pPr>
            <w:r>
              <w:rPr/>
            </w:r>
          </w:p>
        </w:tc>
        <w:tc>
          <w:tcPr>
            <w:tcW w:w="1795" w:type="dxa"/>
            <w:tcBorders>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單位</w:t>
            </w:r>
          </w:p>
        </w:tc>
        <w:tc>
          <w:tcPr>
            <w:tcW w:w="898" w:type="dxa"/>
            <w:tcBorders>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職稱</w:t>
            </w:r>
          </w:p>
        </w:tc>
        <w:tc>
          <w:tcPr>
            <w:tcW w:w="3631" w:type="dxa"/>
            <w:vMerge w:val="continue"/>
            <w:tcBorders>
              <w:top w:val="single" w:sz="4" w:space="0" w:color="000000"/>
              <w:bottom w:val="single" w:sz="4" w:space="0" w:color="000000"/>
              <w:right w:val="single" w:sz="4" w:space="0" w:color="000000"/>
            </w:tcBorders>
            <w:vAlign w:val="center"/>
          </w:tcPr>
          <w:p>
            <w:pPr>
              <w:pStyle w:val="Normal"/>
              <w:rPr/>
            </w:pPr>
            <w:r>
              <w:rPr/>
            </w:r>
          </w:p>
        </w:tc>
        <w:tc>
          <w:tcPr>
            <w:tcW w:w="2369" w:type="dxa"/>
            <w:vMerge w:val="continue"/>
            <w:tcBorders>
              <w:top w:val="single" w:sz="4" w:space="0" w:color="000000"/>
              <w:bottom w:val="single" w:sz="4" w:space="0" w:color="000000"/>
              <w:right w:val="single" w:sz="4" w:space="0" w:color="000000"/>
            </w:tcBorders>
            <w:vAlign w:val="center"/>
          </w:tcPr>
          <w:p>
            <w:pPr>
              <w:pStyle w:val="Normal"/>
              <w:rPr/>
            </w:pPr>
            <w:r>
              <w:rPr/>
            </w:r>
          </w:p>
        </w:tc>
        <w:tc>
          <w:tcPr>
            <w:tcW w:w="1797" w:type="dxa"/>
            <w:tcBorders>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聯絡電話</w:t>
            </w:r>
          </w:p>
        </w:tc>
        <w:tc>
          <w:tcPr>
            <w:tcW w:w="3797" w:type="dxa"/>
            <w:tcBorders>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ascii="標楷體" w:hAnsi="標楷體" w:cs="新細明體" w:eastAsia="標楷體"/>
                <w:color w:val="000000"/>
                <w:kern w:val="0"/>
                <w:szCs w:val="24"/>
              </w:rPr>
              <w:t>電子信箱</w:t>
            </w:r>
          </w:p>
        </w:tc>
        <w:tc>
          <w:tcPr>
            <w:tcW w:w="4245" w:type="dxa"/>
            <w:vMerge w:val="continue"/>
            <w:tcBorders>
              <w:top w:val="single" w:sz="4" w:space="0" w:color="000000"/>
              <w:bottom w:val="single" w:sz="4" w:space="0" w:color="000000"/>
              <w:right w:val="single" w:sz="4" w:space="0" w:color="000000"/>
            </w:tcBorders>
          </w:tcPr>
          <w:p>
            <w:pPr>
              <w:pStyle w:val="Normal"/>
              <w:rPr/>
            </w:pPr>
            <w:r>
              <w:rPr/>
            </w:r>
          </w:p>
        </w:tc>
        <w:tc>
          <w:tcPr>
            <w:tcW w:w="13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12" w:hRule="atLeast"/>
        </w:trPr>
        <w:tc>
          <w:tcPr>
            <w:tcW w:w="562" w:type="dxa"/>
            <w:tcBorders>
              <w:left w:val="single" w:sz="4" w:space="0" w:color="000000"/>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04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795"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898"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3631" w:type="dxa"/>
            <w:tcBorders>
              <w:bottom w:val="single" w:sz="4" w:space="0" w:color="000000"/>
              <w:right w:val="single" w:sz="4" w:space="0" w:color="000000"/>
            </w:tcBorders>
            <w:vAlign w:val="center"/>
          </w:tcPr>
          <w:p>
            <w:pPr>
              <w:pStyle w:val="BodyText"/>
              <w:widowControl/>
              <w:rPr>
                <w:rFonts w:ascii="標楷體" w:hAnsi="標楷體" w:eastAsia="標楷體" w:cs="Times New Roman"/>
                <w:color w:val="000000"/>
                <w:szCs w:val="24"/>
              </w:rPr>
            </w:pPr>
            <w:r>
              <w:rPr>
                <w:rFonts w:eastAsia="標楷體" w:cs="Times New Roman" w:ascii="標楷體" w:hAnsi="標楷體"/>
                <w:color w:val="000000"/>
                <w:szCs w:val="24"/>
              </w:rPr>
            </w:r>
          </w:p>
        </w:tc>
        <w:tc>
          <w:tcPr>
            <w:tcW w:w="2369" w:type="dxa"/>
            <w:tcBorders>
              <w:bottom w:val="single" w:sz="4" w:space="0" w:color="000000"/>
              <w:right w:val="single" w:sz="4" w:space="0" w:color="000000"/>
            </w:tcBorders>
            <w:vAlign w:val="center"/>
          </w:tcPr>
          <w:p>
            <w:pPr>
              <w:pStyle w:val="BodyText"/>
              <w:rPr>
                <w:color w:val="000000"/>
                <w:szCs w:val="24"/>
              </w:rPr>
            </w:pPr>
            <w:r>
              <w:rPr>
                <w:color w:val="000000"/>
                <w:szCs w:val="24"/>
              </w:rPr>
            </w:r>
          </w:p>
        </w:tc>
        <w:tc>
          <w:tcPr>
            <w:tcW w:w="1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3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4245" w:type="dxa"/>
            <w:tcBorders>
              <w:top w:val="single" w:sz="4" w:space="0" w:color="000000"/>
              <w:bottom w:val="single" w:sz="4" w:space="0" w:color="000000"/>
              <w:right w:val="single" w:sz="4" w:space="0" w:color="000000"/>
            </w:tcBorders>
          </w:tcPr>
          <w:p>
            <w:pPr>
              <w:pStyle w:val="BodyText"/>
              <w:widowControl/>
              <w:spacing w:lineRule="exact" w:line="400"/>
              <w:jc w:val="both"/>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398" w:type="dxa"/>
            <w:tcBorders>
              <w:left w:val="single" w:sz="4" w:space="0" w:color="000000"/>
              <w:bottom w:val="single" w:sz="4" w:space="0" w:color="000000"/>
              <w:right w:val="single" w:sz="4" w:space="0" w:color="000000"/>
            </w:tcBorders>
            <w:vAlign w:val="center"/>
          </w:tcPr>
          <w:p>
            <w:pPr>
              <w:pStyle w:val="BodyText"/>
              <w:widowControl/>
              <w:spacing w:lineRule="exact" w:line="480"/>
              <w:jc w:val="both"/>
              <w:rPr>
                <w:rFonts w:ascii="標楷體" w:hAnsi="標楷體" w:eastAsia="標楷體" w:cs="新細明體"/>
                <w:color w:val="000000"/>
                <w:kern w:val="0"/>
                <w:szCs w:val="24"/>
              </w:rPr>
            </w:pPr>
            <w:r>
              <w:rPr>
                <w:rFonts w:eastAsia="標楷體" w:cs="新細明體" w:ascii="標楷體" w:hAnsi="標楷體"/>
                <w:color w:val="000000"/>
                <w:kern w:val="0"/>
                <w:szCs w:val="24"/>
              </w:rPr>
            </w:r>
          </w:p>
        </w:tc>
      </w:tr>
      <w:tr>
        <w:trPr>
          <w:trHeight w:val="412" w:hRule="atLeast"/>
        </w:trPr>
        <w:tc>
          <w:tcPr>
            <w:tcW w:w="562" w:type="dxa"/>
            <w:tcBorders>
              <w:left w:val="single" w:sz="4" w:space="0" w:color="000000"/>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04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795"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898"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3631" w:type="dxa"/>
            <w:tcBorders>
              <w:bottom w:val="single" w:sz="4" w:space="0" w:color="000000"/>
              <w:right w:val="single" w:sz="4" w:space="0" w:color="000000"/>
            </w:tcBorders>
            <w:vAlign w:val="center"/>
          </w:tcPr>
          <w:p>
            <w:pPr>
              <w:pStyle w:val="BodyText"/>
              <w:widowControl/>
              <w:rPr>
                <w:rFonts w:ascii="標楷體" w:hAnsi="標楷體" w:eastAsia="標楷體" w:cs="Times New Roman"/>
                <w:color w:val="000000"/>
                <w:szCs w:val="24"/>
              </w:rPr>
            </w:pPr>
            <w:r>
              <w:rPr>
                <w:rFonts w:eastAsia="標楷體" w:cs="Times New Roman" w:ascii="標楷體" w:hAnsi="標楷體"/>
                <w:color w:val="000000"/>
                <w:szCs w:val="24"/>
              </w:rPr>
            </w:r>
          </w:p>
        </w:tc>
        <w:tc>
          <w:tcPr>
            <w:tcW w:w="2369" w:type="dxa"/>
            <w:tcBorders>
              <w:bottom w:val="single" w:sz="4" w:space="0" w:color="000000"/>
              <w:right w:val="single" w:sz="4" w:space="0" w:color="000000"/>
            </w:tcBorders>
            <w:vAlign w:val="center"/>
          </w:tcPr>
          <w:p>
            <w:pPr>
              <w:pStyle w:val="BodyText"/>
              <w:rPr>
                <w:color w:val="000000"/>
                <w:szCs w:val="24"/>
              </w:rPr>
            </w:pPr>
            <w:r>
              <w:rPr>
                <w:color w:val="000000"/>
                <w:szCs w:val="24"/>
              </w:rPr>
            </w:r>
          </w:p>
        </w:tc>
        <w:tc>
          <w:tcPr>
            <w:tcW w:w="1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3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4245" w:type="dxa"/>
            <w:tcBorders>
              <w:top w:val="single" w:sz="4" w:space="0" w:color="000000"/>
              <w:bottom w:val="single" w:sz="4" w:space="0" w:color="000000"/>
              <w:right w:val="single" w:sz="4" w:space="0" w:color="000000"/>
            </w:tcBorders>
          </w:tcPr>
          <w:p>
            <w:pPr>
              <w:pStyle w:val="BodyText"/>
              <w:widowControl/>
              <w:spacing w:lineRule="exact" w:line="400"/>
              <w:jc w:val="both"/>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398" w:type="dxa"/>
            <w:tcBorders>
              <w:left w:val="single" w:sz="4" w:space="0" w:color="000000"/>
              <w:bottom w:val="single" w:sz="4" w:space="0" w:color="000000"/>
              <w:right w:val="single" w:sz="4" w:space="0" w:color="000000"/>
            </w:tcBorders>
            <w:vAlign w:val="center"/>
          </w:tcPr>
          <w:p>
            <w:pPr>
              <w:pStyle w:val="BodyText"/>
              <w:widowControl/>
              <w:spacing w:lineRule="exact" w:line="480"/>
              <w:jc w:val="both"/>
              <w:rPr>
                <w:rFonts w:ascii="標楷體" w:hAnsi="標楷體" w:eastAsia="標楷體" w:cs="新細明體"/>
                <w:color w:val="000000"/>
                <w:kern w:val="0"/>
                <w:szCs w:val="24"/>
              </w:rPr>
            </w:pPr>
            <w:r>
              <w:rPr>
                <w:rFonts w:eastAsia="標楷體" w:cs="新細明體" w:ascii="標楷體" w:hAnsi="標楷體"/>
                <w:color w:val="000000"/>
                <w:kern w:val="0"/>
                <w:szCs w:val="24"/>
              </w:rPr>
            </w:r>
          </w:p>
        </w:tc>
      </w:tr>
      <w:tr>
        <w:trPr>
          <w:trHeight w:val="412" w:hRule="atLeast"/>
        </w:trPr>
        <w:tc>
          <w:tcPr>
            <w:tcW w:w="562" w:type="dxa"/>
            <w:tcBorders>
              <w:left w:val="single" w:sz="4" w:space="0" w:color="000000"/>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04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795"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898"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3631" w:type="dxa"/>
            <w:tcBorders>
              <w:bottom w:val="single" w:sz="4" w:space="0" w:color="000000"/>
              <w:right w:val="single" w:sz="4" w:space="0" w:color="000000"/>
            </w:tcBorders>
            <w:vAlign w:val="center"/>
          </w:tcPr>
          <w:p>
            <w:pPr>
              <w:pStyle w:val="BodyText"/>
              <w:widowControl/>
              <w:rPr>
                <w:rFonts w:ascii="標楷體" w:hAnsi="標楷體" w:eastAsia="標楷體" w:cs="Times New Roman"/>
                <w:color w:val="000000"/>
                <w:szCs w:val="24"/>
              </w:rPr>
            </w:pPr>
            <w:r>
              <w:rPr>
                <w:rFonts w:eastAsia="標楷體" w:cs="Times New Roman" w:ascii="標楷體" w:hAnsi="標楷體"/>
                <w:color w:val="000000"/>
                <w:szCs w:val="24"/>
              </w:rPr>
            </w:r>
          </w:p>
        </w:tc>
        <w:tc>
          <w:tcPr>
            <w:tcW w:w="2369" w:type="dxa"/>
            <w:tcBorders>
              <w:bottom w:val="single" w:sz="4" w:space="0" w:color="000000"/>
              <w:right w:val="single" w:sz="4" w:space="0" w:color="000000"/>
            </w:tcBorders>
            <w:vAlign w:val="center"/>
          </w:tcPr>
          <w:p>
            <w:pPr>
              <w:pStyle w:val="BodyText"/>
              <w:rPr>
                <w:color w:val="000000"/>
                <w:szCs w:val="24"/>
              </w:rPr>
            </w:pPr>
            <w:r>
              <w:rPr>
                <w:color w:val="000000"/>
                <w:szCs w:val="24"/>
              </w:rPr>
            </w:r>
          </w:p>
        </w:tc>
        <w:tc>
          <w:tcPr>
            <w:tcW w:w="1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3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4245" w:type="dxa"/>
            <w:tcBorders>
              <w:top w:val="single" w:sz="4" w:space="0" w:color="000000"/>
              <w:bottom w:val="single" w:sz="4" w:space="0" w:color="000000"/>
              <w:right w:val="single" w:sz="4" w:space="0" w:color="000000"/>
            </w:tcBorders>
          </w:tcPr>
          <w:p>
            <w:pPr>
              <w:pStyle w:val="BodyText"/>
              <w:widowControl/>
              <w:spacing w:lineRule="exact" w:line="400"/>
              <w:jc w:val="both"/>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398" w:type="dxa"/>
            <w:tcBorders>
              <w:left w:val="single" w:sz="4" w:space="0" w:color="000000"/>
              <w:bottom w:val="single" w:sz="4" w:space="0" w:color="000000"/>
              <w:right w:val="single" w:sz="4" w:space="0" w:color="000000"/>
            </w:tcBorders>
            <w:vAlign w:val="center"/>
          </w:tcPr>
          <w:p>
            <w:pPr>
              <w:pStyle w:val="BodyText"/>
              <w:widowControl/>
              <w:spacing w:lineRule="exact" w:line="480"/>
              <w:jc w:val="both"/>
              <w:rPr>
                <w:rFonts w:ascii="標楷體" w:hAnsi="標楷體" w:eastAsia="標楷體" w:cs="新細明體"/>
                <w:color w:val="000000"/>
                <w:kern w:val="0"/>
                <w:szCs w:val="24"/>
              </w:rPr>
            </w:pPr>
            <w:r>
              <w:rPr>
                <w:rFonts w:eastAsia="標楷體" w:cs="新細明體" w:ascii="標楷體" w:hAnsi="標楷體"/>
                <w:color w:val="000000"/>
                <w:kern w:val="0"/>
                <w:szCs w:val="24"/>
              </w:rPr>
            </w:r>
          </w:p>
        </w:tc>
      </w:tr>
      <w:tr>
        <w:trPr>
          <w:trHeight w:val="412" w:hRule="atLeast"/>
        </w:trPr>
        <w:tc>
          <w:tcPr>
            <w:tcW w:w="562" w:type="dxa"/>
            <w:tcBorders>
              <w:left w:val="single" w:sz="4" w:space="0" w:color="000000"/>
              <w:bottom w:val="single" w:sz="4" w:space="0" w:color="000000"/>
              <w:right w:val="single" w:sz="4" w:space="0" w:color="000000"/>
            </w:tcBorders>
            <w:vAlign w:val="center"/>
          </w:tcPr>
          <w:p>
            <w:pPr>
              <w:pStyle w:val="BodyText"/>
              <w:widowControl/>
              <w:spacing w:lineRule="exact" w:line="480"/>
              <w:jc w:val="center"/>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04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795"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898"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3631" w:type="dxa"/>
            <w:tcBorders>
              <w:bottom w:val="single" w:sz="4" w:space="0" w:color="000000"/>
              <w:right w:val="single" w:sz="4" w:space="0" w:color="000000"/>
            </w:tcBorders>
            <w:vAlign w:val="center"/>
          </w:tcPr>
          <w:p>
            <w:pPr>
              <w:pStyle w:val="BodyText"/>
              <w:widowControl/>
              <w:rPr>
                <w:rFonts w:ascii="標楷體" w:hAnsi="標楷體" w:eastAsia="標楷體" w:cs="Times New Roman"/>
                <w:color w:val="000000"/>
                <w:szCs w:val="24"/>
              </w:rPr>
            </w:pPr>
            <w:r>
              <w:rPr>
                <w:rFonts w:eastAsia="標楷體" w:cs="Times New Roman" w:ascii="標楷體" w:hAnsi="標楷體"/>
                <w:color w:val="000000"/>
                <w:szCs w:val="24"/>
              </w:rPr>
            </w:r>
          </w:p>
        </w:tc>
        <w:tc>
          <w:tcPr>
            <w:tcW w:w="2369" w:type="dxa"/>
            <w:tcBorders>
              <w:bottom w:val="single" w:sz="4" w:space="0" w:color="000000"/>
              <w:right w:val="single" w:sz="4" w:space="0" w:color="000000"/>
            </w:tcBorders>
            <w:vAlign w:val="center"/>
          </w:tcPr>
          <w:p>
            <w:pPr>
              <w:pStyle w:val="BodyText"/>
              <w:rPr>
                <w:color w:val="000000"/>
                <w:szCs w:val="24"/>
              </w:rPr>
            </w:pPr>
            <w:r>
              <w:rPr>
                <w:color w:val="000000"/>
                <w:szCs w:val="24"/>
              </w:rPr>
            </w:r>
          </w:p>
        </w:tc>
        <w:tc>
          <w:tcPr>
            <w:tcW w:w="1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3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4245" w:type="dxa"/>
            <w:tcBorders>
              <w:top w:val="single" w:sz="4" w:space="0" w:color="000000"/>
              <w:bottom w:val="single" w:sz="4" w:space="0" w:color="000000"/>
              <w:right w:val="single" w:sz="4" w:space="0" w:color="000000"/>
            </w:tcBorders>
          </w:tcPr>
          <w:p>
            <w:pPr>
              <w:pStyle w:val="BodyText"/>
              <w:widowControl/>
              <w:spacing w:lineRule="exact" w:line="400"/>
              <w:jc w:val="both"/>
              <w:rPr>
                <w:rFonts w:ascii="標楷體" w:hAnsi="標楷體" w:eastAsia="標楷體" w:cs="新細明體"/>
                <w:color w:val="000000"/>
                <w:kern w:val="0"/>
                <w:szCs w:val="24"/>
              </w:rPr>
            </w:pPr>
            <w:r>
              <w:rPr>
                <w:rFonts w:eastAsia="標楷體" w:cs="新細明體" w:ascii="標楷體" w:hAnsi="標楷體"/>
                <w:color w:val="000000"/>
                <w:kern w:val="0"/>
                <w:szCs w:val="24"/>
              </w:rPr>
            </w:r>
          </w:p>
        </w:tc>
        <w:tc>
          <w:tcPr>
            <w:tcW w:w="1398" w:type="dxa"/>
            <w:tcBorders>
              <w:left w:val="single" w:sz="4" w:space="0" w:color="000000"/>
              <w:bottom w:val="single" w:sz="4" w:space="0" w:color="000000"/>
              <w:right w:val="single" w:sz="4" w:space="0" w:color="000000"/>
            </w:tcBorders>
            <w:vAlign w:val="center"/>
          </w:tcPr>
          <w:p>
            <w:pPr>
              <w:pStyle w:val="BodyText"/>
              <w:widowControl/>
              <w:spacing w:lineRule="exact" w:line="480"/>
              <w:jc w:val="both"/>
              <w:rPr>
                <w:rFonts w:ascii="標楷體" w:hAnsi="標楷體" w:eastAsia="標楷體" w:cs="新細明體"/>
                <w:color w:val="000000"/>
                <w:kern w:val="0"/>
                <w:szCs w:val="24"/>
              </w:rPr>
            </w:pPr>
            <w:r>
              <w:rPr>
                <w:rFonts w:eastAsia="標楷體" w:cs="新細明體" w:ascii="標楷體" w:hAnsi="標楷體"/>
                <w:color w:val="000000"/>
                <w:kern w:val="0"/>
                <w:szCs w:val="24"/>
              </w:rPr>
            </w:r>
          </w:p>
        </w:tc>
      </w:tr>
      <w:tr>
        <w:trPr>
          <w:trHeight w:val="412" w:hRule="atLeast"/>
        </w:trPr>
        <w:tc>
          <w:tcPr>
            <w:tcW w:w="562" w:type="dxa"/>
            <w:tcBorders>
              <w:left w:val="single" w:sz="4" w:space="0" w:color="000000"/>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7F7F7F"/>
                <w:kern w:val="0"/>
                <w:szCs w:val="24"/>
              </w:rPr>
            </w:pPr>
            <w:r>
              <w:rPr>
                <w:rFonts w:ascii="標楷體" w:hAnsi="標楷體" w:cs="新細明體" w:eastAsia="標楷體"/>
                <w:color w:val="7F7F7F"/>
                <w:kern w:val="0"/>
                <w:szCs w:val="24"/>
              </w:rPr>
              <w:t>例</w:t>
            </w:r>
          </w:p>
        </w:tc>
        <w:tc>
          <w:tcPr>
            <w:tcW w:w="104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7F7F7F"/>
                <w:kern w:val="0"/>
                <w:szCs w:val="24"/>
              </w:rPr>
            </w:pPr>
            <w:r>
              <w:rPr>
                <w:rFonts w:ascii="標楷體" w:hAnsi="標楷體" w:cs="新細明體" w:eastAsia="標楷體"/>
                <w:color w:val="7F7F7F"/>
                <w:kern w:val="0"/>
                <w:szCs w:val="24"/>
              </w:rPr>
              <w:t>郝性平</w:t>
            </w:r>
          </w:p>
        </w:tc>
        <w:tc>
          <w:tcPr>
            <w:tcW w:w="1795"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7F7F7F"/>
                <w:kern w:val="0"/>
                <w:szCs w:val="24"/>
              </w:rPr>
            </w:pPr>
            <w:r>
              <w:rPr>
                <w:rFonts w:ascii="標楷體" w:hAnsi="標楷體" w:cs="新細明體" w:eastAsia="標楷體"/>
                <w:color w:val="7F7F7F"/>
                <w:kern w:val="0"/>
                <w:szCs w:val="24"/>
              </w:rPr>
              <w:t>財團法人樂於助人基金會</w:t>
            </w:r>
          </w:p>
        </w:tc>
        <w:tc>
          <w:tcPr>
            <w:tcW w:w="898"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7F7F7F"/>
                <w:kern w:val="0"/>
                <w:szCs w:val="24"/>
              </w:rPr>
            </w:pPr>
            <w:r>
              <w:rPr>
                <w:rFonts w:ascii="標楷體" w:hAnsi="標楷體" w:cs="新細明體" w:eastAsia="標楷體"/>
                <w:color w:val="7F7F7F"/>
                <w:kern w:val="0"/>
                <w:szCs w:val="24"/>
              </w:rPr>
              <w:t>組長</w:t>
            </w:r>
          </w:p>
        </w:tc>
        <w:tc>
          <w:tcPr>
            <w:tcW w:w="3631" w:type="dxa"/>
            <w:tcBorders>
              <w:bottom w:val="single" w:sz="4" w:space="0" w:color="000000"/>
              <w:right w:val="single" w:sz="4" w:space="0" w:color="000000"/>
            </w:tcBorders>
            <w:vAlign w:val="center"/>
          </w:tcPr>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性別與媒體</w:t>
            </w:r>
          </w:p>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性別與遷移（跨國婚姻、新移民女性、跨國移工、人口販運等）</w:t>
            </w:r>
          </w:p>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性別與教育</w:t>
            </w:r>
          </w:p>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性別與勞動</w:t>
            </w:r>
          </w:p>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性別與法律</w:t>
            </w:r>
          </w:p>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性別與網路</w:t>
            </w:r>
          </w:p>
          <w:p>
            <w:pPr>
              <w:pStyle w:val="BodyText"/>
              <w:widowControl/>
              <w:rPr/>
            </w:pPr>
            <w:r>
              <w:rPr>
                <w:rStyle w:val="Style14"/>
                <w:rFonts w:ascii="標楷體" w:hAnsi="標楷體" w:cs="Times New Roman" w:eastAsia="標楷體"/>
                <w:color w:val="7F7F7F"/>
                <w:szCs w:val="24"/>
              </w:rPr>
              <w:t>性暴力與人身安全</w:t>
            </w:r>
            <w:r>
              <w:rPr>
                <w:rStyle w:val="Style14"/>
                <w:rFonts w:eastAsia="標楷體" w:cs="Times New Roman" w:ascii="標楷體" w:hAnsi="標楷體"/>
                <w:color w:val="7F7F7F"/>
                <w:szCs w:val="24"/>
              </w:rPr>
              <w:t>(</w:t>
            </w:r>
            <w:r>
              <w:rPr>
                <w:rStyle w:val="Style14"/>
                <w:rFonts w:ascii="標楷體" w:hAnsi="標楷體" w:cs="Times New Roman" w:eastAsia="標楷體"/>
                <w:color w:val="7F7F7F"/>
                <w:szCs w:val="24"/>
              </w:rPr>
              <w:t>性侵害、家暴、性騷擾防治等</w:t>
            </w:r>
            <w:r>
              <w:rPr>
                <w:rStyle w:val="Style14"/>
                <w:rFonts w:eastAsia="標楷體" w:cs="Times New Roman" w:ascii="標楷體" w:hAnsi="標楷體"/>
                <w:color w:val="7F7F7F"/>
                <w:szCs w:val="24"/>
              </w:rPr>
              <w:t>)</w:t>
            </w:r>
          </w:p>
        </w:tc>
        <w:tc>
          <w:tcPr>
            <w:tcW w:w="2369" w:type="dxa"/>
            <w:tcBorders>
              <w:bottom w:val="single" w:sz="4" w:space="0" w:color="000000"/>
              <w:right w:val="single" w:sz="4" w:space="0" w:color="000000"/>
            </w:tcBorders>
            <w:vAlign w:val="center"/>
          </w:tcPr>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兒童社會工作</w:t>
            </w:r>
          </w:p>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少年社會工作</w:t>
            </w:r>
          </w:p>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婦女社會工作</w:t>
            </w:r>
          </w:p>
          <w:p>
            <w:pPr>
              <w:pStyle w:val="BodyText"/>
              <w:widowControl/>
              <w:rPr>
                <w:rFonts w:ascii="標楷體" w:hAnsi="標楷體" w:eastAsia="標楷體" w:cs="Times New Roman"/>
                <w:color w:val="7F7F7F"/>
                <w:szCs w:val="24"/>
              </w:rPr>
            </w:pPr>
            <w:r>
              <w:rPr>
                <w:rFonts w:ascii="標楷體" w:hAnsi="標楷體" w:cs="Times New Roman" w:eastAsia="標楷體"/>
                <w:color w:val="7F7F7F"/>
                <w:szCs w:val="24"/>
              </w:rPr>
              <w:t>家庭社會工作</w:t>
            </w:r>
          </w:p>
          <w:p>
            <w:pPr>
              <w:pStyle w:val="BodyText"/>
              <w:widowControl/>
              <w:rPr/>
            </w:pPr>
            <w:r>
              <w:rPr>
                <w:rStyle w:val="Style14"/>
                <w:rFonts w:ascii="標楷體" w:hAnsi="標楷體" w:cs="Times New Roman" w:eastAsia="標楷體"/>
                <w:color w:val="7F7F7F"/>
                <w:szCs w:val="24"/>
              </w:rPr>
              <w:t>保護性社會工作</w:t>
            </w:r>
          </w:p>
        </w:tc>
        <w:tc>
          <w:tcPr>
            <w:tcW w:w="1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7F7F7F"/>
                <w:kern w:val="0"/>
                <w:szCs w:val="24"/>
              </w:rPr>
            </w:pPr>
            <w:r>
              <w:rPr>
                <w:rFonts w:eastAsia="標楷體" w:cs="新細明體" w:ascii="標楷體" w:hAnsi="標楷體"/>
                <w:color w:val="7F7F7F"/>
                <w:kern w:val="0"/>
                <w:szCs w:val="24"/>
              </w:rPr>
              <w:t>02-8765-4321</w:t>
            </w:r>
          </w:p>
        </w:tc>
        <w:tc>
          <w:tcPr>
            <w:tcW w:w="3797" w:type="dxa"/>
            <w:tcBorders>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7F7F7F"/>
                <w:kern w:val="0"/>
                <w:szCs w:val="24"/>
              </w:rPr>
            </w:pPr>
            <w:r>
              <w:rPr>
                <w:rFonts w:eastAsia="標楷體" w:cs="新細明體" w:ascii="標楷體" w:hAnsi="標楷體"/>
                <w:color w:val="7F7F7F"/>
                <w:kern w:val="0"/>
                <w:szCs w:val="24"/>
              </w:rPr>
              <w:t>gender@equality.com.tw</w:t>
            </w:r>
          </w:p>
        </w:tc>
        <w:tc>
          <w:tcPr>
            <w:tcW w:w="4245" w:type="dxa"/>
            <w:tcBorders>
              <w:top w:val="single" w:sz="4" w:space="0" w:color="000000"/>
              <w:bottom w:val="single" w:sz="4" w:space="0" w:color="000000"/>
              <w:right w:val="single" w:sz="4" w:space="0" w:color="000000"/>
            </w:tcBorders>
          </w:tcPr>
          <w:p>
            <w:pPr>
              <w:pStyle w:val="Style21"/>
              <w:widowControl/>
              <w:numPr>
                <w:ilvl w:val="0"/>
                <w:numId w:val="13"/>
              </w:numPr>
              <w:spacing w:lineRule="exact" w:line="400"/>
              <w:ind w:hanging="257" w:left="257"/>
              <w:jc w:val="both"/>
              <w:rPr>
                <w:rFonts w:ascii="標楷體" w:hAnsi="標楷體" w:eastAsia="標楷體" w:cs="新細明體"/>
                <w:color w:val="7F7F7F"/>
                <w:kern w:val="0"/>
                <w:szCs w:val="24"/>
              </w:rPr>
            </w:pPr>
            <w:r>
              <w:rPr>
                <w:rFonts w:ascii="標楷體" w:hAnsi="標楷體" w:cs="新細明體" w:eastAsia="標楷體"/>
                <w:color w:val="7F7F7F"/>
                <w:kern w:val="0"/>
                <w:szCs w:val="24"/>
              </w:rPr>
              <w:t>符合第</w:t>
            </w:r>
            <w:r>
              <w:rPr>
                <w:rFonts w:eastAsia="標楷體" w:cs="新細明體" w:ascii="標楷體" w:hAnsi="標楷體"/>
                <w:color w:val="7F7F7F"/>
                <w:kern w:val="0"/>
                <w:szCs w:val="24"/>
              </w:rPr>
              <w:t>1</w:t>
            </w:r>
            <w:r>
              <w:rPr>
                <w:rFonts w:ascii="標楷體" w:hAnsi="標楷體" w:cs="新細明體" w:eastAsia="標楷體"/>
                <w:color w:val="7F7F7F"/>
                <w:kern w:val="0"/>
                <w:szCs w:val="24"/>
              </w:rPr>
              <w:t>款與第</w:t>
            </w:r>
            <w:r>
              <w:rPr>
                <w:rFonts w:eastAsia="標楷體" w:cs="新細明體" w:ascii="標楷體" w:hAnsi="標楷體"/>
                <w:color w:val="7F7F7F"/>
                <w:kern w:val="0"/>
                <w:szCs w:val="24"/>
              </w:rPr>
              <w:t>4</w:t>
            </w:r>
            <w:r>
              <w:rPr>
                <w:rFonts w:ascii="標楷體" w:hAnsi="標楷體" w:cs="新細明體" w:eastAsia="標楷體"/>
                <w:color w:val="7F7F7F"/>
                <w:kern w:val="0"/>
                <w:szCs w:val="24"/>
              </w:rPr>
              <w:t>款。</w:t>
            </w:r>
          </w:p>
          <w:p>
            <w:pPr>
              <w:pStyle w:val="Style21"/>
              <w:widowControl/>
              <w:numPr>
                <w:ilvl w:val="0"/>
                <w:numId w:val="13"/>
              </w:numPr>
              <w:spacing w:lineRule="exact" w:line="400"/>
              <w:ind w:hanging="257" w:left="257"/>
              <w:jc w:val="both"/>
              <w:rPr>
                <w:rFonts w:ascii="標楷體" w:hAnsi="標楷體" w:eastAsia="標楷體" w:cs="新細明體"/>
                <w:color w:val="7F7F7F"/>
                <w:kern w:val="0"/>
                <w:szCs w:val="24"/>
              </w:rPr>
            </w:pPr>
            <w:r>
              <w:rPr>
                <w:rFonts w:eastAsia="標楷體" w:cs="新細明體" w:ascii="標楷體" w:hAnsi="標楷體"/>
                <w:color w:val="7F7F7F"/>
                <w:kern w:val="0"/>
                <w:szCs w:val="24"/>
              </w:rPr>
              <w:t>108</w:t>
            </w:r>
            <w:r>
              <w:rPr>
                <w:rFonts w:ascii="標楷體" w:hAnsi="標楷體" w:cs="新細明體" w:eastAsia="標楷體"/>
                <w:color w:val="7F7F7F"/>
                <w:kern w:val="0"/>
                <w:szCs w:val="24"/>
              </w:rPr>
              <w:t>年起受雇於樂於助人基金會，工作內容包括</w:t>
            </w:r>
            <w:r>
              <w:rPr>
                <w:rFonts w:eastAsia="標楷體" w:cs="新細明體" w:ascii="標楷體" w:hAnsi="標楷體"/>
                <w:color w:val="7F7F7F"/>
                <w:kern w:val="0"/>
                <w:szCs w:val="24"/>
              </w:rPr>
              <w:t>:</w:t>
            </w:r>
            <w:r>
              <w:rPr>
                <w:rFonts w:ascii="標楷體" w:hAnsi="標楷體" w:cs="新細明體" w:eastAsia="標楷體"/>
                <w:color w:val="7F7F7F"/>
                <w:kern w:val="0"/>
                <w:szCs w:val="24"/>
              </w:rPr>
              <w:t>性騷擾防治宣導、人口販運被害人協助、目睹兒少個案處遇。</w:t>
            </w:r>
          </w:p>
          <w:p>
            <w:pPr>
              <w:pStyle w:val="Style21"/>
              <w:widowControl/>
              <w:numPr>
                <w:ilvl w:val="0"/>
                <w:numId w:val="13"/>
              </w:numPr>
              <w:spacing w:lineRule="exact" w:line="400"/>
              <w:ind w:hanging="257" w:left="257"/>
              <w:jc w:val="both"/>
              <w:rPr>
                <w:rFonts w:ascii="標楷體" w:hAnsi="標楷體" w:eastAsia="標楷體" w:cs="新細明體"/>
                <w:color w:val="7F7F7F"/>
                <w:kern w:val="0"/>
                <w:szCs w:val="24"/>
              </w:rPr>
            </w:pPr>
            <w:r>
              <w:rPr>
                <w:rFonts w:eastAsia="標楷體" w:cs="新細明體" w:ascii="標楷體" w:hAnsi="標楷體"/>
                <w:color w:val="7F7F7F"/>
                <w:kern w:val="0"/>
                <w:szCs w:val="24"/>
              </w:rPr>
              <w:t>112</w:t>
            </w:r>
            <w:r>
              <w:rPr>
                <w:rFonts w:ascii="標楷體" w:hAnsi="標楷體" w:cs="新細明體" w:eastAsia="標楷體"/>
                <w:color w:val="7F7F7F"/>
                <w:kern w:val="0"/>
                <w:szCs w:val="24"/>
              </w:rPr>
              <w:t>年起擔任</w:t>
            </w:r>
            <w:r>
              <w:rPr>
                <w:rFonts w:eastAsia="標楷體" w:cs="新細明體" w:ascii="標楷體" w:hAnsi="標楷體"/>
                <w:color w:val="7F7F7F"/>
                <w:kern w:val="0"/>
                <w:szCs w:val="24"/>
              </w:rPr>
              <w:t>ooo</w:t>
            </w:r>
            <w:r>
              <w:rPr>
                <w:rFonts w:ascii="標楷體" w:hAnsi="標楷體" w:cs="新細明體" w:eastAsia="標楷體"/>
                <w:color w:val="7F7F7F"/>
                <w:kern w:val="0"/>
                <w:szCs w:val="24"/>
              </w:rPr>
              <w:t>政府性別平等委員會委員至今。</w:t>
            </w:r>
          </w:p>
        </w:tc>
        <w:tc>
          <w:tcPr>
            <w:tcW w:w="1398" w:type="dxa"/>
            <w:tcBorders>
              <w:left w:val="single" w:sz="4" w:space="0" w:color="000000"/>
              <w:bottom w:val="single" w:sz="4" w:space="0" w:color="000000"/>
              <w:right w:val="single" w:sz="4" w:space="0" w:color="000000"/>
            </w:tcBorders>
            <w:vAlign w:val="center"/>
          </w:tcPr>
          <w:p>
            <w:pPr>
              <w:pStyle w:val="BodyText"/>
              <w:widowControl/>
              <w:spacing w:lineRule="exact" w:line="480"/>
              <w:rPr>
                <w:rFonts w:ascii="標楷體" w:hAnsi="標楷體" w:eastAsia="標楷體" w:cs="新細明體"/>
                <w:color w:val="7F7F7F"/>
                <w:kern w:val="0"/>
                <w:szCs w:val="24"/>
              </w:rPr>
            </w:pPr>
            <w:r>
              <w:rPr>
                <w:rFonts w:eastAsia="標楷體" w:cs="新細明體" w:ascii="標楷體" w:hAnsi="標楷體"/>
                <w:color w:val="7F7F7F"/>
                <w:kern w:val="0"/>
                <w:szCs w:val="24"/>
              </w:rPr>
              <w:t>ooo</w:t>
            </w:r>
            <w:r>
              <w:rPr>
                <w:rFonts w:ascii="標楷體" w:hAnsi="標楷體" w:cs="新細明體" w:eastAsia="標楷體"/>
                <w:color w:val="7F7F7F"/>
                <w:kern w:val="0"/>
                <w:szCs w:val="24"/>
              </w:rPr>
              <w:t>政府</w:t>
            </w:r>
            <w:r>
              <w:rPr>
                <w:rFonts w:eastAsia="標楷體" w:cs="新細明體" w:ascii="標楷體" w:hAnsi="標楷體"/>
                <w:color w:val="7F7F7F"/>
                <w:kern w:val="0"/>
                <w:szCs w:val="24"/>
              </w:rPr>
              <w:t>oo</w:t>
            </w:r>
            <w:r>
              <w:rPr>
                <w:rFonts w:ascii="標楷體" w:hAnsi="標楷體" w:cs="新細明體" w:eastAsia="標楷體"/>
                <w:color w:val="7F7F7F"/>
                <w:kern w:val="0"/>
                <w:szCs w:val="24"/>
              </w:rPr>
              <w:t>局</w:t>
            </w:r>
            <w:r>
              <w:rPr>
                <w:rFonts w:eastAsia="標楷體" w:cs="新細明體" w:ascii="標楷體" w:hAnsi="標楷體"/>
                <w:color w:val="7F7F7F"/>
                <w:kern w:val="0"/>
                <w:szCs w:val="24"/>
              </w:rPr>
              <w:t>/oo</w:t>
            </w:r>
            <w:r>
              <w:rPr>
                <w:rFonts w:ascii="標楷體" w:hAnsi="標楷體" w:cs="新細明體" w:eastAsia="標楷體"/>
                <w:color w:val="7F7F7F"/>
                <w:kern w:val="0"/>
                <w:szCs w:val="24"/>
              </w:rPr>
              <w:t>處</w:t>
            </w:r>
          </w:p>
        </w:tc>
      </w:tr>
    </w:tbl>
    <w:p>
      <w:pPr>
        <w:sectPr>
          <w:footerReference w:type="default" r:id="rId3"/>
          <w:footerReference w:type="first" r:id="rId4"/>
          <w:type w:val="nextPage"/>
          <w:pgSz w:orient="landscape" w:w="23811" w:h="16838"/>
          <w:pgMar w:left="1134" w:right="1134" w:gutter="0" w:header="0" w:top="851" w:footer="993" w:bottom="1286"/>
          <w:pgNumType w:fmt="decimal"/>
          <w:formProt w:val="false"/>
          <w:textDirection w:val="lrTb"/>
          <w:docGrid w:type="snapToChars" w:linePitch="600" w:charSpace="4294938623"/>
        </w:sectPr>
      </w:pPr>
      <w:r>
        <w:br w:type="page"/>
      </w:r>
    </w:p>
    <w:p>
      <w:pPr>
        <w:pStyle w:val="BodyText"/>
        <w:widowControl/>
        <w:spacing w:lineRule="exact" w:line="400"/>
        <w:rPr>
          <w:rFonts w:ascii="標楷體" w:hAnsi="標楷體" w:eastAsia="標楷體" w:cs="Times New Roman"/>
          <w:color w:val="000000"/>
          <w:sz w:val="32"/>
          <w:szCs w:val="32"/>
        </w:rPr>
      </w:pPr>
      <w:r>
        <w:rPr>
          <w:rFonts w:ascii="標楷體" w:hAnsi="標楷體" w:cs="Times New Roman" w:eastAsia="標楷體"/>
          <w:color w:val="000000"/>
          <w:sz w:val="32"/>
          <w:szCs w:val="32"/>
        </w:rPr>
        <w:t>補充說明</w:t>
      </w:r>
    </w:p>
    <w:tbl>
      <w:tblPr>
        <w:tblW w:w="9209" w:type="dxa"/>
        <w:jc w:val="center"/>
        <w:tblInd w:w="0" w:type="dxa"/>
        <w:tblLayout w:type="fixed"/>
        <w:tblCellMar>
          <w:top w:w="0" w:type="dxa"/>
          <w:left w:w="108" w:type="dxa"/>
          <w:bottom w:w="0" w:type="dxa"/>
          <w:right w:w="108" w:type="dxa"/>
        </w:tblCellMar>
      </w:tblPr>
      <w:tblGrid>
        <w:gridCol w:w="5949"/>
        <w:gridCol w:w="3260"/>
      </w:tblGrid>
      <w:tr>
        <w:trPr>
          <w:trHeight w:val="825" w:hRule="atLeast"/>
        </w:trPr>
        <w:tc>
          <w:tcPr>
            <w:tcW w:w="5949" w:type="dxa"/>
            <w:tcBorders>
              <w:top w:val="single" w:sz="4" w:space="0" w:color="000000"/>
              <w:left w:val="single" w:sz="4" w:space="0" w:color="000000"/>
              <w:bottom w:val="single" w:sz="4" w:space="0" w:color="000000"/>
              <w:right w:val="single" w:sz="4" w:space="0" w:color="000000"/>
            </w:tcBorders>
            <w:shd w:fill="D9D9D9" w:val="clear"/>
            <w:vAlign w:val="center"/>
          </w:tcPr>
          <w:p>
            <w:pPr>
              <w:pStyle w:val="BodyText"/>
              <w:widowControl/>
              <w:spacing w:lineRule="exact" w:line="320"/>
              <w:jc w:val="center"/>
              <w:rPr>
                <w:rFonts w:ascii="標楷體" w:hAnsi="標楷體" w:eastAsia="標楷體" w:cs="Times New Roman"/>
                <w:color w:val="000000"/>
                <w:sz w:val="28"/>
                <w:szCs w:val="32"/>
              </w:rPr>
            </w:pPr>
            <w:r>
              <w:rPr>
                <w:rFonts w:ascii="標楷體" w:hAnsi="標楷體" w:cs="Times New Roman" w:eastAsia="標楷體"/>
                <w:color w:val="000000"/>
                <w:sz w:val="28"/>
                <w:szCs w:val="32"/>
              </w:rPr>
              <w:t>性別議題與專長類別</w:t>
            </w:r>
          </w:p>
          <w:p>
            <w:pPr>
              <w:pStyle w:val="BodyText"/>
              <w:widowControl/>
              <w:spacing w:lineRule="exact" w:line="320"/>
              <w:jc w:val="center"/>
              <w:rPr>
                <w:rFonts w:ascii="標楷體" w:hAnsi="標楷體" w:eastAsia="標楷體" w:cs="Times New Roman"/>
                <w:color w:val="000000"/>
                <w:sz w:val="28"/>
                <w:szCs w:val="32"/>
              </w:rPr>
            </w:pPr>
            <w:r>
              <w:rPr>
                <w:rFonts w:eastAsia="標楷體" w:cs="Times New Roman" w:ascii="標楷體" w:hAnsi="標楷體"/>
                <w:color w:val="000000"/>
                <w:sz w:val="28"/>
                <w:szCs w:val="32"/>
              </w:rPr>
              <w:t>(</w:t>
            </w:r>
            <w:r>
              <w:rPr>
                <w:rFonts w:ascii="標楷體" w:hAnsi="標楷體" w:cs="Times New Roman" w:eastAsia="標楷體"/>
                <w:color w:val="000000"/>
                <w:sz w:val="28"/>
                <w:szCs w:val="32"/>
              </w:rPr>
              <w:t>可自行新增</w:t>
            </w:r>
            <w:r>
              <w:rPr>
                <w:rFonts w:eastAsia="標楷體" w:cs="Times New Roman" w:ascii="標楷體" w:hAnsi="標楷體"/>
                <w:color w:val="000000"/>
                <w:sz w:val="28"/>
                <w:szCs w:val="32"/>
              </w:rPr>
              <w:t>)</w:t>
            </w:r>
          </w:p>
        </w:tc>
        <w:tc>
          <w:tcPr>
            <w:tcW w:w="3260" w:type="dxa"/>
            <w:tcBorders>
              <w:top w:val="single" w:sz="4" w:space="0" w:color="000000"/>
              <w:left w:val="single" w:sz="4" w:space="0" w:color="000000"/>
              <w:bottom w:val="single" w:sz="4" w:space="0" w:color="000000"/>
              <w:right w:val="single" w:sz="4" w:space="0" w:color="000000"/>
            </w:tcBorders>
            <w:shd w:fill="D9D9D9" w:val="clear"/>
            <w:vAlign w:val="center"/>
          </w:tcPr>
          <w:p>
            <w:pPr>
              <w:pStyle w:val="BodyText"/>
              <w:widowControl/>
              <w:spacing w:lineRule="exact" w:line="320"/>
              <w:jc w:val="center"/>
              <w:rPr>
                <w:rFonts w:ascii="標楷體" w:hAnsi="標楷體" w:eastAsia="標楷體" w:cs="Times New Roman"/>
                <w:color w:val="000000"/>
                <w:sz w:val="28"/>
                <w:szCs w:val="32"/>
              </w:rPr>
            </w:pPr>
            <w:r>
              <w:rPr>
                <w:rFonts w:ascii="標楷體" w:hAnsi="標楷體" w:cs="Times New Roman" w:eastAsia="標楷體"/>
                <w:color w:val="000000"/>
                <w:sz w:val="28"/>
                <w:szCs w:val="32"/>
              </w:rPr>
              <w:t>可授課之專長領域</w:t>
            </w:r>
          </w:p>
          <w:p>
            <w:pPr>
              <w:pStyle w:val="BodyText"/>
              <w:widowControl/>
              <w:spacing w:lineRule="exact" w:line="320"/>
              <w:jc w:val="center"/>
              <w:rPr>
                <w:rFonts w:ascii="標楷體" w:hAnsi="標楷體" w:eastAsia="標楷體" w:cs="Times New Roman"/>
                <w:color w:val="000000"/>
                <w:sz w:val="28"/>
                <w:szCs w:val="32"/>
              </w:rPr>
            </w:pPr>
            <w:r>
              <w:rPr>
                <w:rFonts w:eastAsia="標楷體" w:cs="Times New Roman" w:ascii="標楷體" w:hAnsi="標楷體"/>
                <w:color w:val="000000"/>
                <w:sz w:val="28"/>
                <w:szCs w:val="32"/>
              </w:rPr>
              <w:t>(</w:t>
            </w:r>
            <w:r>
              <w:rPr>
                <w:rFonts w:ascii="標楷體" w:hAnsi="標楷體" w:cs="Times New Roman" w:eastAsia="標楷體"/>
                <w:color w:val="000000"/>
                <w:sz w:val="28"/>
                <w:szCs w:val="32"/>
              </w:rPr>
              <w:t>可自行新增</w:t>
            </w:r>
            <w:r>
              <w:rPr>
                <w:rFonts w:eastAsia="標楷體" w:cs="Times New Roman" w:ascii="標楷體" w:hAnsi="標楷體"/>
                <w:color w:val="000000"/>
                <w:sz w:val="28"/>
                <w:szCs w:val="32"/>
              </w:rPr>
              <w:t>)</w:t>
            </w:r>
          </w:p>
        </w:tc>
      </w:tr>
      <w:tr>
        <w:trPr/>
        <w:tc>
          <w:tcPr>
            <w:tcW w:w="5949" w:type="dxa"/>
            <w:tcBorders>
              <w:top w:val="single" w:sz="4" w:space="0" w:color="000000"/>
              <w:left w:val="single" w:sz="4" w:space="0" w:color="000000"/>
              <w:bottom w:val="single" w:sz="4" w:space="0" w:color="000000"/>
              <w:right w:val="single" w:sz="4" w:space="0" w:color="000000"/>
            </w:tcBorders>
          </w:tcPr>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性別知識、權力與政策</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性別、階級與族群</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性別、婚姻與家庭</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性別、疾病與健康</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性別、科技與日常生活</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性別人權</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性別平等運動之發展與現況</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國際性別議題、性別與全球化</w:t>
            </w:r>
          </w:p>
          <w:p>
            <w:pPr>
              <w:pStyle w:val="BodyText"/>
              <w:widowControl/>
              <w:rPr>
                <w:rFonts w:ascii="標楷體" w:hAnsi="標楷體" w:eastAsia="標楷體" w:cs="Times New Roman"/>
                <w:color w:val="000000"/>
                <w:szCs w:val="32"/>
              </w:rPr>
            </w:pPr>
            <w:r>
              <w:rPr>
                <w:rFonts w:eastAsia="標楷體" w:cs="Times New Roman" w:ascii="標楷體" w:hAnsi="標楷體"/>
                <w:color w:val="000000"/>
                <w:szCs w:val="32"/>
              </w:rPr>
              <w:t>SDGs</w:t>
            </w:r>
            <w:r>
              <w:rPr>
                <w:rFonts w:ascii="標楷體" w:hAnsi="標楷體" w:cs="Times New Roman" w:eastAsia="標楷體"/>
                <w:color w:val="000000"/>
                <w:szCs w:val="32"/>
              </w:rPr>
              <w:t>（聯合國永續發展目標）</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多元性別權益保障（含性少數、同志家庭、第二代相關服務或其他等）</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性別、傳播、新媒體</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性別偏見與性別歧視</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性別化創新</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性別與社會福利</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性別與政治</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性暴力與人身安全</w:t>
            </w:r>
            <w:r>
              <w:rPr>
                <w:rFonts w:eastAsia="標楷體" w:cs="Times New Roman" w:ascii="標楷體" w:hAnsi="標楷體"/>
                <w:color w:val="000000"/>
                <w:szCs w:val="32"/>
              </w:rPr>
              <w:t>(</w:t>
            </w:r>
            <w:r>
              <w:rPr>
                <w:rFonts w:ascii="標楷體" w:hAnsi="標楷體" w:cs="Times New Roman" w:eastAsia="標楷體"/>
                <w:color w:val="000000"/>
                <w:szCs w:val="32"/>
              </w:rPr>
              <w:t>性侵害、家暴、性騷擾防治等</w:t>
            </w:r>
            <w:r>
              <w:rPr>
                <w:rFonts w:eastAsia="標楷體" w:cs="Times New Roman" w:ascii="標楷體" w:hAnsi="標楷體"/>
                <w:color w:val="000000"/>
                <w:szCs w:val="32"/>
              </w:rPr>
              <w:t>)</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性別與社區參與</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性別與教育</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性別與勞動</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性別與法律</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性別與網路</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性別與財經</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性別與農業</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性別與產業</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性別與消費行為</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性別與生涯發展</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性別與工程設計</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性別與環境、空間</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性別與民俗、宗教</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性別與運動、休閒</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性別與犯罪</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性別與國防</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性別與文史藝術（文化產業等）</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w:t>
            </w:r>
            <w:r>
              <w:rPr>
                <w:rFonts w:eastAsia="標楷體" w:cs="Times New Roman" w:ascii="標楷體" w:hAnsi="標楷體"/>
                <w:color w:val="000000"/>
                <w:szCs w:val="32"/>
              </w:rPr>
              <w:t>STEM</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性別與媒體</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性別與遷移（跨國婚姻、新移民女性、跨國移工、人口販運等）</w:t>
            </w:r>
          </w:p>
        </w:tc>
        <w:tc>
          <w:tcPr>
            <w:tcW w:w="3260" w:type="dxa"/>
            <w:tcBorders>
              <w:top w:val="single" w:sz="4" w:space="0" w:color="000000"/>
              <w:left w:val="single" w:sz="4" w:space="0" w:color="000000"/>
              <w:bottom w:val="single" w:sz="4" w:space="0" w:color="000000"/>
              <w:right w:val="single" w:sz="4" w:space="0" w:color="000000"/>
            </w:tcBorders>
          </w:tcPr>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社會工作督導</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醫務社會工作</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心理衛生社會工作</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兒童社會工作</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少年社會工作</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婦女社會工作</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家庭社會工作</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老年社會工作</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身心障礙社會工作</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社區社會工作</w:t>
            </w:r>
          </w:p>
          <w:p>
            <w:pPr>
              <w:pStyle w:val="BodyText"/>
              <w:widowControl/>
              <w:rPr>
                <w:rFonts w:ascii="標楷體" w:hAnsi="標楷體" w:eastAsia="標楷體" w:cs="Times New Roman"/>
                <w:color w:val="000000"/>
                <w:szCs w:val="32"/>
              </w:rPr>
            </w:pPr>
            <w:r>
              <w:rPr>
                <w:rFonts w:ascii="標楷體" w:hAnsi="標楷體" w:cs="Times New Roman" w:eastAsia="標楷體"/>
                <w:color w:val="000000"/>
                <w:szCs w:val="32"/>
              </w:rPr>
              <w:t>保護性社會工作</w:t>
            </w:r>
          </w:p>
        </w:tc>
      </w:tr>
    </w:tbl>
    <w:p>
      <w:pPr>
        <w:pStyle w:val="BodyText"/>
        <w:widowControl/>
        <w:rPr>
          <w:rFonts w:ascii="標楷體" w:hAnsi="標楷體" w:eastAsia="標楷體" w:cs="Times New Roman"/>
          <w:color w:val="000000"/>
          <w:sz w:val="22"/>
          <w:szCs w:val="32"/>
        </w:rPr>
      </w:pPr>
      <w:r>
        <w:rPr>
          <w:rFonts w:eastAsia="標楷體" w:cs="Times New Roman" w:ascii="標楷體" w:hAnsi="標楷體"/>
          <w:color w:val="000000"/>
          <w:sz w:val="22"/>
          <w:szCs w:val="32"/>
        </w:rPr>
      </w:r>
    </w:p>
    <w:sectPr>
      <w:footerReference w:type="default" r:id="rId5"/>
      <w:footerReference w:type="first" r:id="rId6"/>
      <w:type w:val="nextPage"/>
      <w:pgSz w:w="11906" w:h="16838"/>
      <w:pgMar w:left="1134" w:right="1440" w:gutter="0" w:header="0" w:top="851" w:footer="709" w:bottom="1002"/>
      <w:pgNumType w:fmt="decimal"/>
      <w:formProt w:val="false"/>
      <w:textDirection w:val="lrTb"/>
      <w:docGrid w:type="snapToChars" w:linePitch="600" w:charSpace="429493862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Calibri Light">
    <w:charset w:val="01"/>
    <w:family w:val="swiss"/>
    <w:pitch w:val="variable"/>
  </w:font>
  <w:font w:name="Times New Roman">
    <w:charset w:val="01"/>
    <w:family w:val="roman"/>
    <w:pitch w:val="variable"/>
  </w:font>
  <w:font w:name="標楷體">
    <w:charset w:val="01"/>
    <w:family w:val="script"/>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Style w:val="Style14"/>
        <w:i/>
        <w:sz w:val="24"/>
        <w:lang w:val="zh-TW"/>
      </w:rPr>
      <w:fldChar w:fldCharType="begin"/>
    </w:r>
    <w:r>
      <w:rPr>
        <w:rStyle w:val="Style14"/>
        <w:i/>
        <w:sz w:val="24"/>
        <w:lang w:val="zh-TW"/>
      </w:rPr>
      <w:instrText xml:space="preserve"> PAGE </w:instrText>
    </w:r>
    <w:r>
      <w:rPr>
        <w:rStyle w:val="Style14"/>
        <w:i/>
        <w:sz w:val="24"/>
        <w:lang w:val="zh-TW"/>
      </w:rPr>
      <w:fldChar w:fldCharType="separate"/>
    </w:r>
    <w:r>
      <w:rPr>
        <w:rStyle w:val="Style14"/>
        <w:i/>
        <w:sz w:val="24"/>
        <w:lang w:val="zh-TW"/>
      </w:rPr>
      <w:t>5</w:t>
    </w:r>
    <w:r>
      <w:rPr>
        <w:rStyle w:val="Style14"/>
        <w:i/>
        <w:sz w:val="24"/>
        <w:lang w:val="zh-TW"/>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Style w:val="Style14"/>
        <w:i/>
        <w:sz w:val="24"/>
        <w:lang w:val="zh-TW"/>
      </w:rPr>
      <w:fldChar w:fldCharType="begin"/>
    </w:r>
    <w:r>
      <w:rPr>
        <w:rStyle w:val="Style14"/>
        <w:i/>
        <w:sz w:val="24"/>
        <w:lang w:val="zh-TW"/>
      </w:rPr>
      <w:instrText xml:space="preserve"> PAGE </w:instrText>
    </w:r>
    <w:r>
      <w:rPr>
        <w:rStyle w:val="Style14"/>
        <w:i/>
        <w:sz w:val="24"/>
        <w:lang w:val="zh-TW"/>
      </w:rPr>
      <w:fldChar w:fldCharType="separate"/>
    </w:r>
    <w:r>
      <w:rPr>
        <w:rStyle w:val="Style14"/>
        <w:i/>
        <w:sz w:val="24"/>
        <w:lang w:val="zh-TW"/>
      </w:rPr>
      <w:t>6</w:t>
    </w:r>
    <w:r>
      <w:rPr>
        <w:rStyle w:val="Style14"/>
        <w:i/>
        <w:sz w:val="24"/>
        <w:lang w:val="zh-TW"/>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Style w:val="Style14"/>
        <w:i/>
        <w:sz w:val="24"/>
        <w:lang w:val="zh-TW"/>
      </w:rPr>
      <w:fldChar w:fldCharType="begin"/>
    </w:r>
    <w:r>
      <w:rPr>
        <w:rStyle w:val="Style14"/>
        <w:i/>
        <w:sz w:val="24"/>
        <w:lang w:val="zh-TW"/>
      </w:rPr>
      <w:instrText xml:space="preserve"> PAGE </w:instrText>
    </w:r>
    <w:r>
      <w:rPr>
        <w:rStyle w:val="Style14"/>
        <w:i/>
        <w:sz w:val="24"/>
        <w:lang w:val="zh-TW"/>
      </w:rPr>
      <w:fldChar w:fldCharType="separate"/>
    </w:r>
    <w:r>
      <w:rPr>
        <w:rStyle w:val="Style14"/>
        <w:i/>
        <w:sz w:val="24"/>
        <w:lang w:val="zh-TW"/>
      </w:rPr>
      <w:t>8</w:t>
    </w:r>
    <w:r>
      <w:rPr>
        <w:rStyle w:val="Style14"/>
        <w:i/>
        <w:sz w:val="24"/>
        <w:lang w:val="zh-TW"/>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ideographLegalTraditional"/>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3">
    <w:lvl w:ilvl="0">
      <w:start w:val="1"/>
      <w:numFmt w:val="taiwaneseCountingThousand"/>
      <w:lvlText w:val="（%1）"/>
      <w:lvlJc w:val="left"/>
      <w:pPr>
        <w:tabs>
          <w:tab w:val="num" w:pos="0"/>
        </w:tabs>
        <w:ind w:left="1189" w:hanging="480"/>
      </w:pPr>
    </w:lvl>
    <w:lvl w:ilvl="1">
      <w:start w:val="1"/>
      <w:numFmt w:val="ideographTraditional"/>
      <w:lvlText w:val="%2、"/>
      <w:lvlJc w:val="left"/>
      <w:pPr>
        <w:tabs>
          <w:tab w:val="num" w:pos="0"/>
        </w:tabs>
        <w:ind w:left="1669" w:hanging="480"/>
      </w:pPr>
    </w:lvl>
    <w:lvl w:ilvl="2">
      <w:start w:val="1"/>
      <w:numFmt w:val="lowerRoman"/>
      <w:lvlText w:val="%3."/>
      <w:lvlJc w:val="right"/>
      <w:pPr>
        <w:tabs>
          <w:tab w:val="num" w:pos="0"/>
        </w:tabs>
        <w:ind w:left="2149" w:hanging="480"/>
      </w:pPr>
    </w:lvl>
    <w:lvl w:ilvl="3">
      <w:start w:val="1"/>
      <w:numFmt w:val="decimal"/>
      <w:lvlText w:val="%4."/>
      <w:lvlJc w:val="left"/>
      <w:pPr>
        <w:tabs>
          <w:tab w:val="num" w:pos="0"/>
        </w:tabs>
        <w:ind w:left="2629" w:hanging="480"/>
      </w:pPr>
    </w:lvl>
    <w:lvl w:ilvl="4">
      <w:start w:val="1"/>
      <w:numFmt w:val="ideographTraditional"/>
      <w:lvlText w:val="%5、"/>
      <w:lvlJc w:val="left"/>
      <w:pPr>
        <w:tabs>
          <w:tab w:val="num" w:pos="0"/>
        </w:tabs>
        <w:ind w:left="3109" w:hanging="480"/>
      </w:pPr>
    </w:lvl>
    <w:lvl w:ilvl="5">
      <w:start w:val="1"/>
      <w:numFmt w:val="lowerRoman"/>
      <w:lvlText w:val="%6."/>
      <w:lvlJc w:val="right"/>
      <w:pPr>
        <w:tabs>
          <w:tab w:val="num" w:pos="0"/>
        </w:tabs>
        <w:ind w:left="3589" w:hanging="480"/>
      </w:pPr>
    </w:lvl>
    <w:lvl w:ilvl="6">
      <w:start w:val="1"/>
      <w:numFmt w:val="decimal"/>
      <w:lvlText w:val="%7."/>
      <w:lvlJc w:val="left"/>
      <w:pPr>
        <w:tabs>
          <w:tab w:val="num" w:pos="0"/>
        </w:tabs>
        <w:ind w:left="4069" w:hanging="480"/>
      </w:pPr>
    </w:lvl>
    <w:lvl w:ilvl="7">
      <w:start w:val="1"/>
      <w:numFmt w:val="ideographTraditional"/>
      <w:lvlText w:val="%8、"/>
      <w:lvlJc w:val="left"/>
      <w:pPr>
        <w:tabs>
          <w:tab w:val="num" w:pos="0"/>
        </w:tabs>
        <w:ind w:left="4549" w:hanging="480"/>
      </w:pPr>
    </w:lvl>
    <w:lvl w:ilvl="8">
      <w:start w:val="1"/>
      <w:numFmt w:val="lowerRoman"/>
      <w:lvlText w:val="%9."/>
      <w:lvlJc w:val="right"/>
      <w:pPr>
        <w:tabs>
          <w:tab w:val="num" w:pos="0"/>
        </w:tabs>
        <w:ind w:left="5029" w:hanging="480"/>
      </w:pPr>
    </w:lvl>
  </w:abstractNum>
  <w:abstractNum w:abstractNumId="4">
    <w:lvl w:ilvl="0">
      <w:start w:val="1"/>
      <w:numFmt w:val="taiwaneseCountingThousand"/>
      <w:lvlText w:val="（%1）"/>
      <w:lvlJc w:val="left"/>
      <w:pPr>
        <w:tabs>
          <w:tab w:val="num" w:pos="0"/>
        </w:tabs>
        <w:ind w:left="1189" w:hanging="480"/>
      </w:pPr>
    </w:lvl>
    <w:lvl w:ilvl="1">
      <w:start w:val="1"/>
      <w:numFmt w:val="ideographTraditional"/>
      <w:lvlText w:val="%2、"/>
      <w:lvlJc w:val="left"/>
      <w:pPr>
        <w:tabs>
          <w:tab w:val="num" w:pos="0"/>
        </w:tabs>
        <w:ind w:left="1669" w:hanging="480"/>
      </w:pPr>
    </w:lvl>
    <w:lvl w:ilvl="2">
      <w:start w:val="1"/>
      <w:numFmt w:val="lowerRoman"/>
      <w:lvlText w:val="%3."/>
      <w:lvlJc w:val="right"/>
      <w:pPr>
        <w:tabs>
          <w:tab w:val="num" w:pos="0"/>
        </w:tabs>
        <w:ind w:left="2149" w:hanging="480"/>
      </w:pPr>
    </w:lvl>
    <w:lvl w:ilvl="3">
      <w:start w:val="1"/>
      <w:numFmt w:val="decimal"/>
      <w:lvlText w:val="%4."/>
      <w:lvlJc w:val="left"/>
      <w:pPr>
        <w:tabs>
          <w:tab w:val="num" w:pos="0"/>
        </w:tabs>
        <w:ind w:left="2629" w:hanging="480"/>
      </w:pPr>
    </w:lvl>
    <w:lvl w:ilvl="4">
      <w:start w:val="1"/>
      <w:numFmt w:val="ideographTraditional"/>
      <w:lvlText w:val="%5、"/>
      <w:lvlJc w:val="left"/>
      <w:pPr>
        <w:tabs>
          <w:tab w:val="num" w:pos="0"/>
        </w:tabs>
        <w:ind w:left="3109" w:hanging="480"/>
      </w:pPr>
    </w:lvl>
    <w:lvl w:ilvl="5">
      <w:start w:val="1"/>
      <w:numFmt w:val="lowerRoman"/>
      <w:lvlText w:val="%6."/>
      <w:lvlJc w:val="right"/>
      <w:pPr>
        <w:tabs>
          <w:tab w:val="num" w:pos="0"/>
        </w:tabs>
        <w:ind w:left="3589" w:hanging="480"/>
      </w:pPr>
    </w:lvl>
    <w:lvl w:ilvl="6">
      <w:start w:val="1"/>
      <w:numFmt w:val="decimal"/>
      <w:lvlText w:val="%7."/>
      <w:lvlJc w:val="left"/>
      <w:pPr>
        <w:tabs>
          <w:tab w:val="num" w:pos="0"/>
        </w:tabs>
        <w:ind w:left="4069" w:hanging="480"/>
      </w:pPr>
    </w:lvl>
    <w:lvl w:ilvl="7">
      <w:start w:val="1"/>
      <w:numFmt w:val="ideographTraditional"/>
      <w:lvlText w:val="%8、"/>
      <w:lvlJc w:val="left"/>
      <w:pPr>
        <w:tabs>
          <w:tab w:val="num" w:pos="0"/>
        </w:tabs>
        <w:ind w:left="4549" w:hanging="480"/>
      </w:pPr>
    </w:lvl>
    <w:lvl w:ilvl="8">
      <w:start w:val="1"/>
      <w:numFmt w:val="lowerRoman"/>
      <w:lvlText w:val="%9."/>
      <w:lvlJc w:val="right"/>
      <w:pPr>
        <w:tabs>
          <w:tab w:val="num" w:pos="0"/>
        </w:tabs>
        <w:ind w:left="5029" w:hanging="480"/>
      </w:pPr>
    </w:lvl>
  </w:abstractNum>
  <w:abstractNum w:abstractNumId="5">
    <w:lvl w:ilvl="0">
      <w:start w:val="1"/>
      <w:numFmt w:val="taiwaneseCountingThousand"/>
      <w:lvlText w:val="（%1）"/>
      <w:lvlJc w:val="left"/>
      <w:pPr>
        <w:tabs>
          <w:tab w:val="num" w:pos="0"/>
        </w:tabs>
        <w:ind w:left="1189" w:hanging="480"/>
      </w:pPr>
      <w:rPr>
        <w:lang w:val="en-US"/>
      </w:rPr>
    </w:lvl>
    <w:lvl w:ilvl="1">
      <w:start w:val="1"/>
      <w:numFmt w:val="ideographTraditional"/>
      <w:lvlText w:val="%2、"/>
      <w:lvlJc w:val="left"/>
      <w:pPr>
        <w:tabs>
          <w:tab w:val="num" w:pos="0"/>
        </w:tabs>
        <w:ind w:left="1669" w:hanging="480"/>
      </w:pPr>
    </w:lvl>
    <w:lvl w:ilvl="2">
      <w:start w:val="1"/>
      <w:numFmt w:val="lowerRoman"/>
      <w:lvlText w:val="%3."/>
      <w:lvlJc w:val="right"/>
      <w:pPr>
        <w:tabs>
          <w:tab w:val="num" w:pos="0"/>
        </w:tabs>
        <w:ind w:left="2149" w:hanging="480"/>
      </w:pPr>
    </w:lvl>
    <w:lvl w:ilvl="3">
      <w:start w:val="1"/>
      <w:numFmt w:val="decimal"/>
      <w:lvlText w:val="%4."/>
      <w:lvlJc w:val="left"/>
      <w:pPr>
        <w:tabs>
          <w:tab w:val="num" w:pos="0"/>
        </w:tabs>
        <w:ind w:left="2629" w:hanging="480"/>
      </w:pPr>
    </w:lvl>
    <w:lvl w:ilvl="4">
      <w:start w:val="1"/>
      <w:numFmt w:val="ideographTraditional"/>
      <w:lvlText w:val="%5、"/>
      <w:lvlJc w:val="left"/>
      <w:pPr>
        <w:tabs>
          <w:tab w:val="num" w:pos="0"/>
        </w:tabs>
        <w:ind w:left="3109" w:hanging="480"/>
      </w:pPr>
    </w:lvl>
    <w:lvl w:ilvl="5">
      <w:start w:val="1"/>
      <w:numFmt w:val="lowerRoman"/>
      <w:lvlText w:val="%6."/>
      <w:lvlJc w:val="right"/>
      <w:pPr>
        <w:tabs>
          <w:tab w:val="num" w:pos="0"/>
        </w:tabs>
        <w:ind w:left="3589" w:hanging="480"/>
      </w:pPr>
    </w:lvl>
    <w:lvl w:ilvl="6">
      <w:start w:val="1"/>
      <w:numFmt w:val="decimal"/>
      <w:lvlText w:val="%7."/>
      <w:lvlJc w:val="left"/>
      <w:pPr>
        <w:tabs>
          <w:tab w:val="num" w:pos="0"/>
        </w:tabs>
        <w:ind w:left="4069" w:hanging="480"/>
      </w:pPr>
    </w:lvl>
    <w:lvl w:ilvl="7">
      <w:start w:val="1"/>
      <w:numFmt w:val="ideographTraditional"/>
      <w:lvlText w:val="%8、"/>
      <w:lvlJc w:val="left"/>
      <w:pPr>
        <w:tabs>
          <w:tab w:val="num" w:pos="0"/>
        </w:tabs>
        <w:ind w:left="4549" w:hanging="480"/>
      </w:pPr>
    </w:lvl>
    <w:lvl w:ilvl="8">
      <w:start w:val="1"/>
      <w:numFmt w:val="lowerRoman"/>
      <w:lvlText w:val="%9."/>
      <w:lvlJc w:val="right"/>
      <w:pPr>
        <w:tabs>
          <w:tab w:val="num" w:pos="0"/>
        </w:tabs>
        <w:ind w:left="5029" w:hanging="480"/>
      </w:pPr>
    </w:lvl>
  </w:abstractNum>
  <w:abstractNum w:abstractNumId="6">
    <w:lvl w:ilvl="0">
      <w:start w:val="1"/>
      <w:numFmt w:val="decimal"/>
      <w:lvlText w:val="%1、"/>
      <w:lvlJc w:val="left"/>
      <w:pPr>
        <w:tabs>
          <w:tab w:val="num" w:pos="0"/>
        </w:tabs>
        <w:ind w:left="2706" w:hanging="720"/>
      </w:pPr>
    </w:lvl>
    <w:lvl w:ilvl="1">
      <w:start w:val="1"/>
      <w:numFmt w:val="ideographTraditional"/>
      <w:lvlText w:val="%2、"/>
      <w:lvlJc w:val="left"/>
      <w:pPr>
        <w:tabs>
          <w:tab w:val="num" w:pos="0"/>
        </w:tabs>
        <w:ind w:left="2946" w:hanging="480"/>
      </w:pPr>
    </w:lvl>
    <w:lvl w:ilvl="2">
      <w:start w:val="1"/>
      <w:numFmt w:val="lowerRoman"/>
      <w:lvlText w:val="%3."/>
      <w:lvlJc w:val="right"/>
      <w:pPr>
        <w:tabs>
          <w:tab w:val="num" w:pos="0"/>
        </w:tabs>
        <w:ind w:left="3426" w:hanging="480"/>
      </w:pPr>
    </w:lvl>
    <w:lvl w:ilvl="3">
      <w:start w:val="1"/>
      <w:numFmt w:val="decimal"/>
      <w:lvlText w:val="%4."/>
      <w:lvlJc w:val="left"/>
      <w:pPr>
        <w:tabs>
          <w:tab w:val="num" w:pos="0"/>
        </w:tabs>
        <w:ind w:left="3906" w:hanging="480"/>
      </w:pPr>
    </w:lvl>
    <w:lvl w:ilvl="4">
      <w:start w:val="1"/>
      <w:numFmt w:val="ideographTraditional"/>
      <w:lvlText w:val="%5、"/>
      <w:lvlJc w:val="left"/>
      <w:pPr>
        <w:tabs>
          <w:tab w:val="num" w:pos="0"/>
        </w:tabs>
        <w:ind w:left="4386" w:hanging="480"/>
      </w:pPr>
    </w:lvl>
    <w:lvl w:ilvl="5">
      <w:start w:val="1"/>
      <w:numFmt w:val="lowerRoman"/>
      <w:lvlText w:val="%6."/>
      <w:lvlJc w:val="right"/>
      <w:pPr>
        <w:tabs>
          <w:tab w:val="num" w:pos="0"/>
        </w:tabs>
        <w:ind w:left="4866" w:hanging="480"/>
      </w:pPr>
    </w:lvl>
    <w:lvl w:ilvl="6">
      <w:start w:val="1"/>
      <w:numFmt w:val="decimal"/>
      <w:lvlText w:val="%7."/>
      <w:lvlJc w:val="left"/>
      <w:pPr>
        <w:tabs>
          <w:tab w:val="num" w:pos="0"/>
        </w:tabs>
        <w:ind w:left="5346" w:hanging="480"/>
      </w:pPr>
    </w:lvl>
    <w:lvl w:ilvl="7">
      <w:start w:val="1"/>
      <w:numFmt w:val="ideographTraditional"/>
      <w:lvlText w:val="%8、"/>
      <w:lvlJc w:val="left"/>
      <w:pPr>
        <w:tabs>
          <w:tab w:val="num" w:pos="0"/>
        </w:tabs>
        <w:ind w:left="5826" w:hanging="480"/>
      </w:pPr>
    </w:lvl>
    <w:lvl w:ilvl="8">
      <w:start w:val="1"/>
      <w:numFmt w:val="lowerRoman"/>
      <w:lvlText w:val="%9."/>
      <w:lvlJc w:val="right"/>
      <w:pPr>
        <w:tabs>
          <w:tab w:val="num" w:pos="0"/>
        </w:tabs>
        <w:ind w:left="6306" w:hanging="480"/>
      </w:pPr>
    </w:lvl>
  </w:abstractNum>
  <w:abstractNum w:abstractNumId="7">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8">
    <w:lvl w:ilvl="0">
      <w:start w:val="1"/>
      <w:numFmt w:val="taiwaneseCountingThousand"/>
      <w:lvlText w:val="%1、"/>
      <w:lvlJc w:val="left"/>
      <w:pPr>
        <w:tabs>
          <w:tab w:val="num" w:pos="0"/>
        </w:tabs>
        <w:ind w:left="720" w:hanging="720"/>
      </w:pPr>
      <w:rPr>
        <w:lang w:val="en-US"/>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9">
    <w:lvl w:ilvl="0">
      <w:start w:val="1"/>
      <w:numFmt w:val="taiwaneseCountingThousand"/>
      <w:lvlText w:val="（%1）"/>
      <w:lvlJc w:val="left"/>
      <w:pPr>
        <w:tabs>
          <w:tab w:val="num" w:pos="0"/>
        </w:tabs>
        <w:ind w:left="1200" w:hanging="480"/>
      </w:pPr>
    </w:lvl>
    <w:lvl w:ilvl="1">
      <w:start w:val="1"/>
      <w:numFmt w:val="ideographTraditional"/>
      <w:lvlText w:val="%2、"/>
      <w:lvlJc w:val="left"/>
      <w:pPr>
        <w:tabs>
          <w:tab w:val="num" w:pos="0"/>
        </w:tabs>
        <w:ind w:left="1680" w:hanging="480"/>
      </w:pPr>
    </w:lvl>
    <w:lvl w:ilvl="2">
      <w:start w:val="1"/>
      <w:numFmt w:val="lowerRoman"/>
      <w:lvlText w:val="%3."/>
      <w:lvlJc w:val="right"/>
      <w:pPr>
        <w:tabs>
          <w:tab w:val="num" w:pos="0"/>
        </w:tabs>
        <w:ind w:left="2160" w:hanging="480"/>
      </w:pPr>
    </w:lvl>
    <w:lvl w:ilvl="3">
      <w:start w:val="1"/>
      <w:numFmt w:val="decimal"/>
      <w:lvlText w:val="%4."/>
      <w:lvlJc w:val="left"/>
      <w:pPr>
        <w:tabs>
          <w:tab w:val="num" w:pos="0"/>
        </w:tabs>
        <w:ind w:left="2640" w:hanging="480"/>
      </w:pPr>
    </w:lvl>
    <w:lvl w:ilvl="4">
      <w:start w:val="1"/>
      <w:numFmt w:val="ideographTraditional"/>
      <w:lvlText w:val="%5、"/>
      <w:lvlJc w:val="left"/>
      <w:pPr>
        <w:tabs>
          <w:tab w:val="num" w:pos="0"/>
        </w:tabs>
        <w:ind w:left="3120" w:hanging="480"/>
      </w:pPr>
    </w:lvl>
    <w:lvl w:ilvl="5">
      <w:start w:val="1"/>
      <w:numFmt w:val="lowerRoman"/>
      <w:lvlText w:val="%6."/>
      <w:lvlJc w:val="right"/>
      <w:pPr>
        <w:tabs>
          <w:tab w:val="num" w:pos="0"/>
        </w:tabs>
        <w:ind w:left="3600" w:hanging="480"/>
      </w:pPr>
    </w:lvl>
    <w:lvl w:ilvl="6">
      <w:start w:val="1"/>
      <w:numFmt w:val="decimal"/>
      <w:lvlText w:val="%7."/>
      <w:lvlJc w:val="left"/>
      <w:pPr>
        <w:tabs>
          <w:tab w:val="num" w:pos="0"/>
        </w:tabs>
        <w:ind w:left="4080" w:hanging="480"/>
      </w:pPr>
    </w:lvl>
    <w:lvl w:ilvl="7">
      <w:start w:val="1"/>
      <w:numFmt w:val="ideographTraditional"/>
      <w:lvlText w:val="%8、"/>
      <w:lvlJc w:val="left"/>
      <w:pPr>
        <w:tabs>
          <w:tab w:val="num" w:pos="0"/>
        </w:tabs>
        <w:ind w:left="4560" w:hanging="480"/>
      </w:pPr>
    </w:lvl>
    <w:lvl w:ilvl="8">
      <w:start w:val="1"/>
      <w:numFmt w:val="lowerRoman"/>
      <w:lvlText w:val="%9."/>
      <w:lvlJc w:val="right"/>
      <w:pPr>
        <w:tabs>
          <w:tab w:val="num" w:pos="0"/>
        </w:tabs>
        <w:ind w:left="5040" w:hanging="480"/>
      </w:pPr>
    </w:lvl>
  </w:abstractNum>
  <w:abstractNum w:abstractNumId="10">
    <w:lvl w:ilvl="0">
      <w:start w:val="1"/>
      <w:numFmt w:val="taiwaneseCountingThousand"/>
      <w:lvlText w:val="（%1）"/>
      <w:lvlJc w:val="left"/>
      <w:pPr>
        <w:tabs>
          <w:tab w:val="num" w:pos="0"/>
        </w:tabs>
        <w:ind w:left="1200" w:hanging="480"/>
      </w:pPr>
    </w:lvl>
    <w:lvl w:ilvl="1">
      <w:start w:val="1"/>
      <w:numFmt w:val="ideographTraditional"/>
      <w:lvlText w:val="%2、"/>
      <w:lvlJc w:val="left"/>
      <w:pPr>
        <w:tabs>
          <w:tab w:val="num" w:pos="0"/>
        </w:tabs>
        <w:ind w:left="1680" w:hanging="480"/>
      </w:pPr>
    </w:lvl>
    <w:lvl w:ilvl="2">
      <w:start w:val="1"/>
      <w:numFmt w:val="lowerRoman"/>
      <w:lvlText w:val="%3."/>
      <w:lvlJc w:val="right"/>
      <w:pPr>
        <w:tabs>
          <w:tab w:val="num" w:pos="0"/>
        </w:tabs>
        <w:ind w:left="2160" w:hanging="480"/>
      </w:pPr>
    </w:lvl>
    <w:lvl w:ilvl="3">
      <w:start w:val="1"/>
      <w:numFmt w:val="decimal"/>
      <w:lvlText w:val="%4."/>
      <w:lvlJc w:val="left"/>
      <w:pPr>
        <w:tabs>
          <w:tab w:val="num" w:pos="0"/>
        </w:tabs>
        <w:ind w:left="2640" w:hanging="480"/>
      </w:pPr>
    </w:lvl>
    <w:lvl w:ilvl="4">
      <w:start w:val="1"/>
      <w:numFmt w:val="ideographTraditional"/>
      <w:lvlText w:val="%5、"/>
      <w:lvlJc w:val="left"/>
      <w:pPr>
        <w:tabs>
          <w:tab w:val="num" w:pos="0"/>
        </w:tabs>
        <w:ind w:left="3120" w:hanging="480"/>
      </w:pPr>
    </w:lvl>
    <w:lvl w:ilvl="5">
      <w:start w:val="1"/>
      <w:numFmt w:val="lowerRoman"/>
      <w:lvlText w:val="%6."/>
      <w:lvlJc w:val="right"/>
      <w:pPr>
        <w:tabs>
          <w:tab w:val="num" w:pos="0"/>
        </w:tabs>
        <w:ind w:left="3600" w:hanging="480"/>
      </w:pPr>
    </w:lvl>
    <w:lvl w:ilvl="6">
      <w:start w:val="1"/>
      <w:numFmt w:val="decimal"/>
      <w:lvlText w:val="%7."/>
      <w:lvlJc w:val="left"/>
      <w:pPr>
        <w:tabs>
          <w:tab w:val="num" w:pos="0"/>
        </w:tabs>
        <w:ind w:left="4080" w:hanging="480"/>
      </w:pPr>
    </w:lvl>
    <w:lvl w:ilvl="7">
      <w:start w:val="1"/>
      <w:numFmt w:val="ideographTraditional"/>
      <w:lvlText w:val="%8、"/>
      <w:lvlJc w:val="left"/>
      <w:pPr>
        <w:tabs>
          <w:tab w:val="num" w:pos="0"/>
        </w:tabs>
        <w:ind w:left="4560" w:hanging="480"/>
      </w:pPr>
    </w:lvl>
    <w:lvl w:ilvl="8">
      <w:start w:val="1"/>
      <w:numFmt w:val="lowerRoman"/>
      <w:lvlText w:val="%9."/>
      <w:lvlJc w:val="right"/>
      <w:pPr>
        <w:tabs>
          <w:tab w:val="num" w:pos="0"/>
        </w:tabs>
        <w:ind w:left="5040" w:hanging="480"/>
      </w:pPr>
    </w:lvl>
  </w:abstractNum>
  <w:abstractNum w:abstractNumId="11">
    <w:lvl w:ilvl="0">
      <w:start w:val="1"/>
      <w:numFmt w:val="taiwaneseCountingThousand"/>
      <w:lvlText w:val="（%1）"/>
      <w:lvlJc w:val="left"/>
      <w:pPr>
        <w:tabs>
          <w:tab w:val="num" w:pos="0"/>
        </w:tabs>
        <w:ind w:left="1200" w:hanging="480"/>
      </w:pPr>
    </w:lvl>
    <w:lvl w:ilvl="1">
      <w:start w:val="1"/>
      <w:numFmt w:val="ideographTraditional"/>
      <w:lvlText w:val="%2、"/>
      <w:lvlJc w:val="left"/>
      <w:pPr>
        <w:tabs>
          <w:tab w:val="num" w:pos="0"/>
        </w:tabs>
        <w:ind w:left="1680" w:hanging="480"/>
      </w:pPr>
    </w:lvl>
    <w:lvl w:ilvl="2">
      <w:start w:val="1"/>
      <w:numFmt w:val="lowerRoman"/>
      <w:lvlText w:val="%3."/>
      <w:lvlJc w:val="right"/>
      <w:pPr>
        <w:tabs>
          <w:tab w:val="num" w:pos="0"/>
        </w:tabs>
        <w:ind w:left="2160" w:hanging="480"/>
      </w:pPr>
    </w:lvl>
    <w:lvl w:ilvl="3">
      <w:start w:val="1"/>
      <w:numFmt w:val="decimal"/>
      <w:lvlText w:val="%4."/>
      <w:lvlJc w:val="left"/>
      <w:pPr>
        <w:tabs>
          <w:tab w:val="num" w:pos="0"/>
        </w:tabs>
        <w:ind w:left="2640" w:hanging="480"/>
      </w:pPr>
    </w:lvl>
    <w:lvl w:ilvl="4">
      <w:start w:val="1"/>
      <w:numFmt w:val="ideographTraditional"/>
      <w:lvlText w:val="%5、"/>
      <w:lvlJc w:val="left"/>
      <w:pPr>
        <w:tabs>
          <w:tab w:val="num" w:pos="0"/>
        </w:tabs>
        <w:ind w:left="3120" w:hanging="480"/>
      </w:pPr>
    </w:lvl>
    <w:lvl w:ilvl="5">
      <w:start w:val="1"/>
      <w:numFmt w:val="lowerRoman"/>
      <w:lvlText w:val="%6."/>
      <w:lvlJc w:val="right"/>
      <w:pPr>
        <w:tabs>
          <w:tab w:val="num" w:pos="0"/>
        </w:tabs>
        <w:ind w:left="3600" w:hanging="480"/>
      </w:pPr>
    </w:lvl>
    <w:lvl w:ilvl="6">
      <w:start w:val="1"/>
      <w:numFmt w:val="decimal"/>
      <w:lvlText w:val="%7."/>
      <w:lvlJc w:val="left"/>
      <w:pPr>
        <w:tabs>
          <w:tab w:val="num" w:pos="0"/>
        </w:tabs>
        <w:ind w:left="4080" w:hanging="480"/>
      </w:pPr>
    </w:lvl>
    <w:lvl w:ilvl="7">
      <w:start w:val="1"/>
      <w:numFmt w:val="ideographTraditional"/>
      <w:lvlText w:val="%8、"/>
      <w:lvlJc w:val="left"/>
      <w:pPr>
        <w:tabs>
          <w:tab w:val="num" w:pos="0"/>
        </w:tabs>
        <w:ind w:left="4560" w:hanging="480"/>
      </w:pPr>
    </w:lvl>
    <w:lvl w:ilvl="8">
      <w:start w:val="1"/>
      <w:numFmt w:val="lowerRoman"/>
      <w:lvlText w:val="%9."/>
      <w:lvlJc w:val="right"/>
      <w:pPr>
        <w:tabs>
          <w:tab w:val="num" w:pos="0"/>
        </w:tabs>
        <w:ind w:left="5040" w:hanging="480"/>
      </w:pPr>
    </w:lvl>
  </w:abstractNum>
  <w:abstractNum w:abstractNumId="12">
    <w:lvl w:ilvl="0">
      <w:start w:val="1"/>
      <w:numFmt w:val="taiwaneseCountingThousand"/>
      <w:lvlText w:val="%1、"/>
      <w:lvlJc w:val="left"/>
      <w:pPr>
        <w:tabs>
          <w:tab w:val="num" w:pos="0"/>
        </w:tabs>
        <w:ind w:left="720" w:hanging="72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3">
    <w:lvl w:ilvl="0">
      <w:start w:val="1"/>
      <w:numFmt w:val="decimal"/>
      <w:lvlText w:val="%1."/>
      <w:lvlJc w:val="left"/>
      <w:pPr>
        <w:tabs>
          <w:tab w:val="num" w:pos="0"/>
        </w:tabs>
        <w:ind w:left="480" w:hanging="480"/>
      </w:pPr>
      <w:rPr>
        <w:rFonts w:ascii="Times New Roman" w:hAnsi="Times New Roman" w:eastAsia="Times New Roman" w:cs="Times New Roman"/>
        <w:color w:val="7F7F7F"/>
        <w:w w:val="100"/>
        <w:sz w:val="22"/>
        <w:szCs w:val="22"/>
        <w:lang w:val="en-US" w:eastAsia="zh-TW" w:bidi="ar-SA"/>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4">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480"/>
  <w:autoHyphenation w:val="true"/>
  <w:hyphenationZone w:val="0"/>
  <w:compat>
    <w:doNotExpandShiftReturn/>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新細明體" w:cs="Times New Roman"/>
        <w:kern w:val="2"/>
        <w:sz w:val="24"/>
        <w:szCs w:val="22"/>
        <w:lang w:val="en-US" w:eastAsia="zh-TW" w:bidi="ar-SA"/>
      </w:rPr>
    </w:rPrDefault>
    <w:pPrDefault>
      <w:pPr>
        <w:widowControl/>
        <w:suppressAutoHyphens w:val="false"/>
        <w:jc w:val="left"/>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0"/>
      <w:jc w:val="left"/>
      <w:textAlignment w:val="auto"/>
    </w:pPr>
    <w:rPr>
      <w:rFonts w:ascii="Calibri" w:hAnsi="Calibri" w:eastAsia="新細明體"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Cs w:val="22"/>
      <w:u w:val="none"/>
      <w:shd w:fill="auto" w:val="clear"/>
      <w:vertAlign w:val="baseline"/>
      <w:em w:val="none"/>
      <w:lang w:val="en-US" w:eastAsia="zh-TW" w:bidi="ar-SA"/>
    </w:rPr>
  </w:style>
  <w:style w:type="character" w:styleId="Style14">
    <w:name w:val="預設段落字型"/>
    <w:qFormat/>
    <w:rPr/>
  </w:style>
  <w:style w:type="character" w:styleId="Style15">
    <w:name w:val="頁首 字元"/>
    <w:basedOn w:val="Style14"/>
    <w:qFormat/>
    <w:rPr>
      <w:sz w:val="20"/>
      <w:szCs w:val="20"/>
    </w:rPr>
  </w:style>
  <w:style w:type="character" w:styleId="Style16">
    <w:name w:val="頁尾 字元"/>
    <w:basedOn w:val="Style14"/>
    <w:qFormat/>
    <w:rPr>
      <w:sz w:val="20"/>
      <w:szCs w:val="20"/>
    </w:rPr>
  </w:style>
  <w:style w:type="character" w:styleId="Style17">
    <w:name w:val="註解參照"/>
    <w:basedOn w:val="Style14"/>
    <w:qFormat/>
    <w:rPr>
      <w:sz w:val="18"/>
      <w:szCs w:val="18"/>
    </w:rPr>
  </w:style>
  <w:style w:type="character" w:styleId="Style18">
    <w:name w:val="註解文字 字元"/>
    <w:basedOn w:val="Style14"/>
    <w:qFormat/>
    <w:rPr/>
  </w:style>
  <w:style w:type="character" w:styleId="Style19">
    <w:name w:val="註解主旨 字元"/>
    <w:basedOn w:val="Style18"/>
    <w:qFormat/>
    <w:rPr>
      <w:b/>
      <w:bCs/>
    </w:rPr>
  </w:style>
  <w:style w:type="character" w:styleId="Style20">
    <w:name w:val="註解方塊文字 字元"/>
    <w:basedOn w:val="Style14"/>
    <w:qFormat/>
    <w:rPr>
      <w:rFonts w:ascii="Calibri Light" w:hAnsi="Calibri Light" w:eastAsia="新細明體" w:cs="Times New Roman"/>
      <w:sz w:val="18"/>
      <w:szCs w:val="18"/>
    </w:rPr>
  </w:style>
  <w:style w:type="character" w:styleId="WWCharLFO5LVL1">
    <w:name w:val="WW_CharLFO5LVL1"/>
    <w:qFormat/>
    <w:rPr>
      <w:lang w:val="en-US"/>
    </w:rPr>
  </w:style>
  <w:style w:type="character" w:styleId="WWCharLFO10LVL1">
    <w:name w:val="WW_CharLFO10LVL1"/>
    <w:qFormat/>
    <w:rPr>
      <w:lang w:val="en-US"/>
    </w:rPr>
  </w:style>
  <w:style w:type="character" w:styleId="WWCharLFO18LVL1">
    <w:name w:val="WW_CharLFO18LVL1"/>
    <w:qFormat/>
    <w:rPr>
      <w:rFonts w:ascii="Times New Roman" w:hAnsi="Times New Roman" w:eastAsia="Times New Roman" w:cs="Times New Roman"/>
      <w:color w:val="7F7F7F"/>
      <w:w w:val="100"/>
      <w:sz w:val="22"/>
      <w:szCs w:val="22"/>
      <w:lang w:val="en-US" w:eastAsia="zh-TW" w:bidi="ar-SA"/>
    </w:rPr>
  </w:style>
  <w:style w:type="paragraph" w:styleId="BodyText">
    <w:name w:val="Body Tex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before="0" w:after="0"/>
      <w:jc w:val="left"/>
      <w:textAlignment w:val="auto"/>
    </w:pPr>
    <w:rPr>
      <w:rFonts w:ascii="Calibri" w:hAnsi="Calibri" w:eastAsia="新細明體"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Cs w:val="22"/>
      <w:u w:val="none"/>
      <w:shd w:fill="auto" w:val="clear"/>
      <w:vertAlign w:val="baseline"/>
      <w:em w:val="none"/>
      <w:lang w:val="en-US" w:eastAsia="zh-TW" w:bidi="ar-SA"/>
    </w:rPr>
  </w:style>
  <w:style w:type="paragraph" w:styleId="Style21">
    <w:name w:val="清單段落"/>
    <w:basedOn w:val="BodyText"/>
    <w:qFormat/>
    <w:pPr>
      <w:tabs>
        <w:tab w:val="clear" w:pos="480"/>
      </w:tabs>
      <w:suppressAutoHyphens w:val="true"/>
      <w:ind w:left="480"/>
    </w:pPr>
    <w:rPr/>
  </w:style>
  <w:style w:type="paragraph" w:styleId="Style22">
    <w:name w:val="頁首與頁尾"/>
    <w:basedOn w:val="Normal"/>
    <w:qFormat/>
    <w:pPr>
      <w:suppressLineNumbers/>
      <w:tabs>
        <w:tab w:val="clear" w:pos="480"/>
        <w:tab w:val="center" w:pos="4819" w:leader="none"/>
        <w:tab w:val="right" w:pos="9638" w:leader="none"/>
      </w:tabs>
    </w:pPr>
    <w:rPr/>
  </w:style>
  <w:style w:type="paragraph" w:styleId="Header">
    <w:name w:val="header"/>
    <w:basedOn w:val="BodyText"/>
    <w:pPr>
      <w:tabs>
        <w:tab w:val="clear" w:pos="480"/>
        <w:tab w:val="center" w:pos="4513" w:leader="none"/>
        <w:tab w:val="right" w:pos="9026" w:leader="none"/>
      </w:tabs>
      <w:suppressAutoHyphens w:val="true"/>
      <w:snapToGrid w:val="false"/>
    </w:pPr>
    <w:rPr>
      <w:sz w:val="20"/>
      <w:szCs w:val="20"/>
    </w:rPr>
  </w:style>
  <w:style w:type="paragraph" w:styleId="Footer">
    <w:name w:val="footer"/>
    <w:basedOn w:val="BodyText"/>
    <w:pPr>
      <w:tabs>
        <w:tab w:val="clear" w:pos="480"/>
        <w:tab w:val="center" w:pos="4513" w:leader="none"/>
        <w:tab w:val="right" w:pos="9026" w:leader="none"/>
      </w:tabs>
      <w:suppressAutoHyphens w:val="true"/>
      <w:snapToGrid w:val="false"/>
    </w:pPr>
    <w:rPr>
      <w:sz w:val="20"/>
      <w:szCs w:val="20"/>
    </w:rPr>
  </w:style>
  <w:style w:type="paragraph" w:styleId="Style23">
    <w:name w:val="註解文字"/>
    <w:basedOn w:val="BodyText"/>
    <w:qFormat/>
    <w:pPr>
      <w:suppressAutoHyphens w:val="true"/>
    </w:pPr>
    <w:rPr/>
  </w:style>
  <w:style w:type="paragraph" w:styleId="Style24">
    <w:name w:val="註解主旨"/>
    <w:basedOn w:val="Style23"/>
    <w:next w:val="Style23"/>
    <w:qFormat/>
    <w:pPr>
      <w:suppressAutoHyphens w:val="true"/>
    </w:pPr>
    <w:rPr>
      <w:b/>
      <w:bCs/>
    </w:rPr>
  </w:style>
  <w:style w:type="paragraph" w:styleId="Style25">
    <w:name w:val="註解方塊文字"/>
    <w:basedOn w:val="BodyText"/>
    <w:qFormat/>
    <w:pPr>
      <w:suppressAutoHyphens w:val="true"/>
    </w:pPr>
    <w:rPr>
      <w:rFonts w:ascii="Calibri Light" w:hAnsi="Calibri Light" w:eastAsia="新細明體" w:cs="Times New Roman"/>
      <w:sz w:val="18"/>
      <w:szCs w:val="18"/>
    </w:rPr>
  </w:style>
  <w:style w:type="paragraph" w:styleId="Style26">
    <w:name w:val="表格內容"/>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LibreOffice/26.8.0.3$Windows_X86_64 LibreOffice_project/bce0998afefdbc355585ca324285661a2170ba77</Application>
  <AppVersion>15.0000</AppVersion>
  <Pages>8</Pages>
  <Words>2927</Words>
  <Characters>3002</Characters>
  <CharactersWithSpaces>3029</CharactersWithSpaces>
  <Paragraphs>151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2026-09-07T01:45:00Z</dcterms:created>
  <dc:creator>蔡宜庭</dc:creator>
  <dc:description/>
  <dc:language>zh-TW</dc:language>
  <cp:lastModifiedBy/>
  <cp:lastPrinted>2024-05-08T06:50:00Z</cp:lastPrinted>
  <dcterms:modified xsi:type="dcterms:W3CDTF">2026-09-23T16:48:04Z</dcterms:modified>
  <cp:revision>3</cp:revision>
  <dc:subject/>
  <dc:title/>
</cp:coreProperties>
</file>