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F475" w14:textId="55D8AD3C" w:rsidR="00C14EDF" w:rsidRPr="009B679E" w:rsidRDefault="00C14EDF" w:rsidP="00C14ED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B679E">
        <w:rPr>
          <w:rFonts w:ascii="標楷體" w:eastAsia="標楷體" w:hAnsi="標楷體" w:hint="eastAsia"/>
          <w:b/>
          <w:sz w:val="32"/>
          <w:szCs w:val="32"/>
        </w:rPr>
        <w:t>慈濟大學優</w:t>
      </w:r>
      <w:r w:rsidR="00710481">
        <w:rPr>
          <w:rFonts w:ascii="標楷體" w:eastAsia="標楷體" w:hAnsi="標楷體" w:hint="eastAsia"/>
          <w:b/>
          <w:sz w:val="32"/>
          <w:szCs w:val="32"/>
        </w:rPr>
        <w:t>良</w:t>
      </w:r>
      <w:r w:rsidRPr="009B679E">
        <w:rPr>
          <w:rFonts w:ascii="標楷體" w:eastAsia="標楷體" w:hAnsi="標楷體" w:hint="eastAsia"/>
          <w:b/>
          <w:sz w:val="32"/>
          <w:szCs w:val="32"/>
        </w:rPr>
        <w:t>職涯輔導教師獎勵辦法</w:t>
      </w:r>
    </w:p>
    <w:p w14:paraId="19523B54" w14:textId="77777777" w:rsidR="009B679E" w:rsidRDefault="009B679E" w:rsidP="00C14EDF">
      <w:pPr>
        <w:rPr>
          <w:rFonts w:ascii="標楷體" w:eastAsia="標楷體" w:hAnsi="標楷體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68"/>
      </w:tblGrid>
      <w:tr w:rsidR="009B679E" w14:paraId="5C60196B" w14:textId="77777777" w:rsidTr="001622F7">
        <w:tc>
          <w:tcPr>
            <w:tcW w:w="1526" w:type="dxa"/>
          </w:tcPr>
          <w:p w14:paraId="38CCE3EC" w14:textId="3F782F38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第一條</w:t>
            </w:r>
          </w:p>
        </w:tc>
        <w:tc>
          <w:tcPr>
            <w:tcW w:w="8168" w:type="dxa"/>
          </w:tcPr>
          <w:p w14:paraId="2750A895" w14:textId="2816C829" w:rsidR="009B679E" w:rsidRDefault="009B679E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本校為整合職</w:t>
            </w:r>
            <w:proofErr w:type="gramStart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輔導資源，提升輔導成效，進而肯定推展職</w:t>
            </w:r>
            <w:proofErr w:type="gramStart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輔導有功教師，特訂定本辦法。</w:t>
            </w:r>
          </w:p>
        </w:tc>
      </w:tr>
      <w:tr w:rsidR="009B679E" w14:paraId="010CAC32" w14:textId="77777777" w:rsidTr="001622F7">
        <w:tc>
          <w:tcPr>
            <w:tcW w:w="1526" w:type="dxa"/>
          </w:tcPr>
          <w:p w14:paraId="6DBC0E09" w14:textId="32049413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第二條</w:t>
            </w:r>
          </w:p>
        </w:tc>
        <w:tc>
          <w:tcPr>
            <w:tcW w:w="8168" w:type="dxa"/>
          </w:tcPr>
          <w:p w14:paraId="5EF52B63" w14:textId="66CDA420" w:rsidR="009B679E" w:rsidRPr="00C14EDF" w:rsidRDefault="009B679E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優</w:t>
            </w:r>
            <w:r w:rsidR="00710481" w:rsidRPr="00710481">
              <w:rPr>
                <w:rFonts w:ascii="標楷體" w:eastAsia="標楷體" w:hAnsi="標楷體" w:hint="eastAsia"/>
                <w:sz w:val="27"/>
                <w:szCs w:val="27"/>
              </w:rPr>
              <w:t>良</w:t>
            </w: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輔導教師基本資格與審查條件如下：</w:t>
            </w:r>
          </w:p>
          <w:p w14:paraId="7E8E7098" w14:textId="5C609738" w:rsidR="009B679E" w:rsidRPr="00C14EDF" w:rsidRDefault="009B679E" w:rsidP="001622F7">
            <w:pPr>
              <w:spacing w:beforeLines="50" w:before="180"/>
              <w:ind w:left="54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="001622F7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基本資格：凡符合下列資格者，即具有提名為優</w:t>
            </w:r>
            <w:r w:rsidR="00710481" w:rsidRPr="00710481">
              <w:rPr>
                <w:rFonts w:ascii="標楷體" w:eastAsia="標楷體" w:hAnsi="標楷體" w:hint="eastAsia"/>
                <w:sz w:val="27"/>
                <w:szCs w:val="27"/>
              </w:rPr>
              <w:t>良</w:t>
            </w: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輔導教師獎勵審查資格。</w:t>
            </w:r>
          </w:p>
          <w:p w14:paraId="39826C2F" w14:textId="0FB2835B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擔任職</w:t>
            </w:r>
            <w:proofErr w:type="gramStart"/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輔導種子教師一年(含)以上。</w:t>
            </w:r>
          </w:p>
          <w:p w14:paraId="5B7D0F61" w14:textId="668191CB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(二)</w:t>
            </w:r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投入學生職</w:t>
            </w:r>
            <w:proofErr w:type="gramStart"/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輔導工作有具體績效。</w:t>
            </w:r>
          </w:p>
          <w:p w14:paraId="67C3E0F1" w14:textId="20EFF254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(三)</w:t>
            </w:r>
            <w:r w:rsidR="009B679E" w:rsidRPr="00237554">
              <w:rPr>
                <w:rFonts w:ascii="標楷體" w:eastAsia="標楷體" w:hAnsi="標楷體" w:hint="eastAsia"/>
                <w:sz w:val="27"/>
                <w:szCs w:val="27"/>
              </w:rPr>
              <w:t>雖非職</w:t>
            </w:r>
            <w:proofErr w:type="gramStart"/>
            <w:r w:rsidR="009B679E" w:rsidRPr="00237554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9B679E" w:rsidRPr="00237554">
              <w:rPr>
                <w:rFonts w:ascii="標楷體" w:eastAsia="標楷體" w:hAnsi="標楷體" w:hint="eastAsia"/>
                <w:sz w:val="27"/>
                <w:szCs w:val="27"/>
              </w:rPr>
              <w:t>輔導種子教師，但對</w:t>
            </w:r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學生職</w:t>
            </w:r>
            <w:proofErr w:type="gramStart"/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9B679E" w:rsidRPr="00C14EDF">
              <w:rPr>
                <w:rFonts w:ascii="標楷體" w:eastAsia="標楷體" w:hAnsi="標楷體" w:hint="eastAsia"/>
                <w:sz w:val="27"/>
                <w:szCs w:val="27"/>
              </w:rPr>
              <w:t>輔導工作有卓越貢獻，經各系、所、中心主管推薦者。</w:t>
            </w:r>
          </w:p>
          <w:p w14:paraId="60995C2F" w14:textId="7EA978EB" w:rsidR="009B679E" w:rsidRPr="00C14EDF" w:rsidRDefault="009B679E" w:rsidP="001622F7">
            <w:pPr>
              <w:spacing w:beforeLines="50" w:before="180"/>
              <w:ind w:left="54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622F7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評分項目與具體績效評分比：</w:t>
            </w:r>
          </w:p>
          <w:p w14:paraId="767260B8" w14:textId="09A46F3F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224413">
              <w:rPr>
                <w:rFonts w:hint="eastAsia"/>
              </w:rPr>
              <w:t xml:space="preserve"> </w:t>
            </w:r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行政配合度（30％），包含班級</w:t>
            </w:r>
            <w:proofErr w:type="spell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Ucan</w:t>
            </w:r>
            <w:proofErr w:type="spellEnd"/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施測率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、職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輔導知能研習參與度、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職輔活動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推廣及學生履歷自傳完成率等 。</w:t>
            </w:r>
          </w:p>
          <w:p w14:paraId="1CF57765" w14:textId="56F99317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(二)</w:t>
            </w:r>
            <w:r w:rsidR="00224413">
              <w:rPr>
                <w:rFonts w:hint="eastAsia"/>
              </w:rPr>
              <w:t xml:space="preserve"> </w:t>
            </w:r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輔導補助計畫執行成效（20％），包含教育部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青發署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勞動部等計畫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申請與執行成效等。</w:t>
            </w:r>
          </w:p>
          <w:p w14:paraId="0FF21D9C" w14:textId="1EB991A2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(三)</w:t>
            </w:r>
            <w:r w:rsidR="00224413">
              <w:rPr>
                <w:rFonts w:hint="eastAsia"/>
              </w:rPr>
              <w:t xml:space="preserve"> </w:t>
            </w:r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諮詢成效（20％），包含量化、質化成效。</w:t>
            </w:r>
          </w:p>
          <w:p w14:paraId="56669AD3" w14:textId="3854DEC7" w:rsidR="009B679E" w:rsidRPr="00C14EDF" w:rsidRDefault="001622F7" w:rsidP="001622F7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(四)</w:t>
            </w:r>
            <w:r w:rsidR="00224413">
              <w:rPr>
                <w:rFonts w:hint="eastAsia"/>
              </w:rPr>
              <w:t xml:space="preserve"> </w:t>
            </w:r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畢業生流向調查（15％）。</w:t>
            </w:r>
          </w:p>
          <w:p w14:paraId="62736C40" w14:textId="419EB1A0" w:rsidR="00224413" w:rsidRPr="00224413" w:rsidRDefault="001622F7" w:rsidP="00224413">
            <w:pPr>
              <w:ind w:leftChars="200" w:left="1020" w:hangingChars="200" w:hanging="54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(五)</w:t>
            </w:r>
            <w:r w:rsidR="00224413">
              <w:rPr>
                <w:rFonts w:hint="eastAsia"/>
              </w:rPr>
              <w:t xml:space="preserve"> </w:t>
            </w:r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其他特殊貢獻（15％），包含專業證照與競賽指導、產</w:t>
            </w:r>
            <w:proofErr w:type="gramStart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學橋接媒</w:t>
            </w:r>
            <w:proofErr w:type="gramEnd"/>
            <w:r w:rsidR="00224413" w:rsidRPr="00224413">
              <w:rPr>
                <w:rFonts w:ascii="標楷體" w:eastAsia="標楷體" w:hAnsi="標楷體" w:hint="eastAsia"/>
                <w:sz w:val="27"/>
                <w:szCs w:val="27"/>
              </w:rPr>
              <w:t>合等。</w:t>
            </w:r>
          </w:p>
        </w:tc>
      </w:tr>
      <w:tr w:rsidR="009B679E" w14:paraId="5907DE14" w14:textId="77777777" w:rsidTr="001622F7">
        <w:tc>
          <w:tcPr>
            <w:tcW w:w="1526" w:type="dxa"/>
          </w:tcPr>
          <w:p w14:paraId="5E369E94" w14:textId="43B7D59F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第三條</w:t>
            </w:r>
          </w:p>
        </w:tc>
        <w:tc>
          <w:tcPr>
            <w:tcW w:w="8168" w:type="dxa"/>
          </w:tcPr>
          <w:p w14:paraId="706E783E" w14:textId="3EF4042D" w:rsidR="009B679E" w:rsidRDefault="009B679E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優</w:t>
            </w:r>
            <w:r w:rsidR="00710481" w:rsidRPr="00710481">
              <w:rPr>
                <w:rFonts w:ascii="標楷體" w:eastAsia="標楷體" w:hAnsi="標楷體" w:hint="eastAsia"/>
                <w:sz w:val="27"/>
                <w:szCs w:val="27"/>
              </w:rPr>
              <w:t>良</w:t>
            </w: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輔導教師遴選由慈濟大學職</w:t>
            </w:r>
            <w:proofErr w:type="gramStart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輔導委員會決議，由</w:t>
            </w: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學生事務長擔任召集人，當年度優</w:t>
            </w:r>
            <w:r w:rsidR="00710481" w:rsidRPr="00710481">
              <w:rPr>
                <w:rFonts w:ascii="標楷體" w:eastAsia="標楷體" w:hAnsi="標楷體" w:hint="eastAsia"/>
                <w:sz w:val="27"/>
                <w:szCs w:val="27"/>
              </w:rPr>
              <w:t>良</w:t>
            </w: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輔導教師</w:t>
            </w:r>
            <w:proofErr w:type="gramStart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侯選人</w:t>
            </w:r>
            <w:proofErr w:type="gramEnd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，不得擔任評審委員。</w:t>
            </w:r>
          </w:p>
        </w:tc>
      </w:tr>
      <w:tr w:rsidR="009B679E" w14:paraId="758EF68D" w14:textId="77777777" w:rsidTr="001622F7">
        <w:tc>
          <w:tcPr>
            <w:tcW w:w="1526" w:type="dxa"/>
          </w:tcPr>
          <w:p w14:paraId="1DDF9356" w14:textId="361A27E8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第四條</w:t>
            </w:r>
          </w:p>
        </w:tc>
        <w:tc>
          <w:tcPr>
            <w:tcW w:w="8168" w:type="dxa"/>
          </w:tcPr>
          <w:p w14:paraId="25241D90" w14:textId="3BA71435" w:rsidR="009B679E" w:rsidRDefault="009B679E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優</w:t>
            </w:r>
            <w:r w:rsidR="00710481" w:rsidRPr="00710481">
              <w:rPr>
                <w:rFonts w:ascii="標楷體" w:eastAsia="標楷體" w:hAnsi="標楷體" w:hint="eastAsia"/>
                <w:sz w:val="27"/>
                <w:szCs w:val="27"/>
              </w:rPr>
              <w:t>良</w:t>
            </w: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proofErr w:type="gramStart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輔導教師每名給予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獎狀及</w:t>
            </w: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獎勵金，名額至多</w:t>
            </w:r>
            <w:r w:rsidR="001622F7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名，所需經費由</w:t>
            </w:r>
            <w:proofErr w:type="gramStart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教育部學輔經費</w:t>
            </w:r>
            <w:proofErr w:type="gramEnd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、高教深耕計畫或相關計畫經費預算編列。</w:t>
            </w:r>
          </w:p>
        </w:tc>
      </w:tr>
      <w:tr w:rsidR="009B679E" w14:paraId="41D6C57B" w14:textId="77777777" w:rsidTr="001622F7">
        <w:tc>
          <w:tcPr>
            <w:tcW w:w="1526" w:type="dxa"/>
          </w:tcPr>
          <w:p w14:paraId="089565E1" w14:textId="24A1FA41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第五條</w:t>
            </w:r>
          </w:p>
        </w:tc>
        <w:tc>
          <w:tcPr>
            <w:tcW w:w="8168" w:type="dxa"/>
          </w:tcPr>
          <w:p w14:paraId="66721684" w14:textId="6F23C873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獲選優秀職</w:t>
            </w:r>
            <w:proofErr w:type="gramStart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涯</w:t>
            </w:r>
            <w:proofErr w:type="gramEnd"/>
            <w:r w:rsidRPr="00237554">
              <w:rPr>
                <w:rFonts w:ascii="標楷體" w:eastAsia="標楷體" w:hAnsi="標楷體" w:hint="eastAsia"/>
                <w:sz w:val="27"/>
                <w:szCs w:val="27"/>
              </w:rPr>
              <w:t>輔導教師者，將於學生事務長導師會議或相關會議中公開表揚，以資鼓勵，並邀請至相關場合分享。</w:t>
            </w:r>
          </w:p>
        </w:tc>
      </w:tr>
      <w:tr w:rsidR="009B679E" w14:paraId="7F77888E" w14:textId="77777777" w:rsidTr="001622F7">
        <w:tc>
          <w:tcPr>
            <w:tcW w:w="1526" w:type="dxa"/>
          </w:tcPr>
          <w:p w14:paraId="6762DF5D" w14:textId="16AF712D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第六條</w:t>
            </w:r>
          </w:p>
        </w:tc>
        <w:tc>
          <w:tcPr>
            <w:tcW w:w="8168" w:type="dxa"/>
          </w:tcPr>
          <w:p w14:paraId="571FF143" w14:textId="0543C669" w:rsidR="009B679E" w:rsidRDefault="001622F7" w:rsidP="001622F7">
            <w:pPr>
              <w:spacing w:beforeLines="50" w:before="180"/>
              <w:rPr>
                <w:rFonts w:ascii="標楷體" w:eastAsia="標楷體" w:hAnsi="標楷體"/>
                <w:sz w:val="27"/>
                <w:szCs w:val="27"/>
              </w:rPr>
            </w:pPr>
            <w:r w:rsidRPr="00C14EDF">
              <w:rPr>
                <w:rFonts w:ascii="標楷體" w:eastAsia="標楷體" w:hAnsi="標楷體" w:hint="eastAsia"/>
                <w:sz w:val="27"/>
                <w:szCs w:val="27"/>
              </w:rPr>
              <w:t>本辦法經行政會議通過，陳請校長核定後實施，修正時亦同。</w:t>
            </w:r>
          </w:p>
        </w:tc>
      </w:tr>
    </w:tbl>
    <w:p w14:paraId="115A5D57" w14:textId="77777777" w:rsidR="00C14EDF" w:rsidRPr="00C14EDF" w:rsidRDefault="00C14EDF" w:rsidP="00C14EDF">
      <w:pPr>
        <w:rPr>
          <w:rFonts w:ascii="標楷體" w:eastAsia="標楷體" w:hAnsi="標楷體"/>
          <w:sz w:val="27"/>
          <w:szCs w:val="27"/>
        </w:rPr>
      </w:pPr>
    </w:p>
    <w:p w14:paraId="53899A07" w14:textId="4C5837CE" w:rsidR="009B679E" w:rsidRDefault="009B679E">
      <w:pPr>
        <w:widowControl/>
      </w:pPr>
      <w:r>
        <w:br w:type="page"/>
      </w:r>
    </w:p>
    <w:p w14:paraId="13EE91BC" w14:textId="77777777" w:rsidR="009B679E" w:rsidRDefault="009B679E" w:rsidP="009B679E">
      <w:pPr>
        <w:spacing w:after="240" w:line="36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276C23">
        <w:rPr>
          <w:rFonts w:ascii="標楷體" w:eastAsia="標楷體" w:hAnsi="標楷體" w:hint="eastAsia"/>
          <w:color w:val="000000" w:themeColor="text1"/>
          <w:sz w:val="28"/>
        </w:rPr>
        <w:lastRenderedPageBreak/>
        <w:t>慈濟大學</w:t>
      </w:r>
      <w:r>
        <w:rPr>
          <w:rFonts w:ascii="標楷體" w:eastAsia="標楷體" w:hAnsi="標楷體" w:hint="eastAsia"/>
          <w:color w:val="000000" w:themeColor="text1"/>
          <w:sz w:val="28"/>
        </w:rPr>
        <w:t>優良</w:t>
      </w:r>
      <w:r w:rsidRPr="005F62ED">
        <w:rPr>
          <w:rFonts w:ascii="標楷體" w:eastAsia="標楷體" w:hAnsi="標楷體"/>
          <w:color w:val="000000" w:themeColor="text1"/>
          <w:sz w:val="28"/>
        </w:rPr>
        <w:t>職</w:t>
      </w:r>
      <w:proofErr w:type="gramStart"/>
      <w:r>
        <w:rPr>
          <w:rFonts w:ascii="標楷體" w:eastAsia="標楷體" w:hAnsi="標楷體"/>
          <w:color w:val="000000" w:themeColor="text1"/>
          <w:sz w:val="28"/>
        </w:rPr>
        <w:t>涯</w:t>
      </w:r>
      <w:proofErr w:type="gramEnd"/>
      <w:r w:rsidRPr="005F62ED">
        <w:rPr>
          <w:rFonts w:ascii="標楷體" w:eastAsia="標楷體" w:hAnsi="標楷體"/>
          <w:color w:val="000000" w:themeColor="text1"/>
          <w:sz w:val="28"/>
        </w:rPr>
        <w:t>輔</w:t>
      </w:r>
      <w:r>
        <w:rPr>
          <w:rFonts w:ascii="標楷體" w:eastAsia="標楷體" w:hAnsi="標楷體"/>
          <w:color w:val="000000" w:themeColor="text1"/>
          <w:sz w:val="28"/>
        </w:rPr>
        <w:t>導教師</w:t>
      </w:r>
      <w:r>
        <w:rPr>
          <w:rFonts w:ascii="標楷體" w:eastAsia="標楷體" w:hAnsi="標楷體" w:hint="eastAsia"/>
          <w:color w:val="000000" w:themeColor="text1"/>
          <w:sz w:val="28"/>
        </w:rPr>
        <w:t>/</w:t>
      </w:r>
      <w:r w:rsidRPr="005F62ED">
        <w:rPr>
          <w:rFonts w:ascii="標楷體" w:eastAsia="標楷體" w:hAnsi="標楷體"/>
          <w:color w:val="000000" w:themeColor="text1"/>
          <w:sz w:val="28"/>
        </w:rPr>
        <w:t>人員申請表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3260"/>
        <w:gridCol w:w="1229"/>
        <w:gridCol w:w="3388"/>
      </w:tblGrid>
      <w:tr w:rsidR="009B679E" w:rsidRPr="00C353CB" w14:paraId="46E9BB48" w14:textId="77777777" w:rsidTr="00FC3834">
        <w:trPr>
          <w:trHeight w:val="487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9A20D" w14:textId="77777777" w:rsidR="009B679E" w:rsidRPr="00C353CB" w:rsidRDefault="009B679E" w:rsidP="00FC3834">
            <w:pPr>
              <w:snapToGrid w:val="0"/>
              <w:spacing w:after="36" w:line="276" w:lineRule="auto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AB4E1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679E" w:rsidRPr="00C353CB" w14:paraId="4C1DA9CF" w14:textId="77777777" w:rsidTr="00FC3834">
        <w:trPr>
          <w:trHeight w:val="54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2A50E" w14:textId="77777777" w:rsidR="009B679E" w:rsidRPr="00C353CB" w:rsidRDefault="009B679E" w:rsidP="00FC3834">
            <w:pPr>
              <w:snapToGrid w:val="0"/>
              <w:spacing w:after="36" w:line="276" w:lineRule="auto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服務</w:t>
            </w:r>
            <w:r>
              <w:rPr>
                <w:rFonts w:ascii="標楷體" w:eastAsia="標楷體" w:hAnsi="標楷體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C353CB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2D324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AE9BD" w14:textId="77777777" w:rsidR="009B679E" w:rsidRPr="00C353CB" w:rsidRDefault="009B679E" w:rsidP="00FC3834">
            <w:pPr>
              <w:snapToGrid w:val="0"/>
              <w:spacing w:after="36" w:line="276" w:lineRule="auto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5D372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679E" w:rsidRPr="00C353CB" w14:paraId="008801C4" w14:textId="77777777" w:rsidTr="00FC3834">
        <w:trPr>
          <w:trHeight w:val="55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4B88" w14:textId="77777777" w:rsidR="009B679E" w:rsidRPr="00C353CB" w:rsidRDefault="009B679E" w:rsidP="00FC3834">
            <w:pPr>
              <w:snapToGrid w:val="0"/>
              <w:spacing w:after="36" w:line="276" w:lineRule="auto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6785F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4B7CB" w14:textId="77777777" w:rsidR="009B679E" w:rsidRPr="00C353CB" w:rsidRDefault="009B679E" w:rsidP="00FC3834">
            <w:pPr>
              <w:pStyle w:val="1"/>
              <w:spacing w:before="0" w:after="36" w:line="276" w:lineRule="auto"/>
              <w:jc w:val="center"/>
              <w:rPr>
                <w:rFonts w:ascii="標楷體" w:eastAsia="標楷體" w:hAnsi="標楷體"/>
                <w:b w:val="0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353CB">
              <w:rPr>
                <w:rFonts w:ascii="標楷體" w:eastAsia="標楷體" w:hAnsi="標楷體"/>
                <w:b w:val="0"/>
                <w:bCs w:val="0"/>
                <w:kern w:val="2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BB412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9B679E" w:rsidRPr="00C353CB" w14:paraId="2402D9F8" w14:textId="77777777" w:rsidTr="00FC3834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86CFA" w14:textId="77777777" w:rsidR="009B679E" w:rsidRPr="00C353CB" w:rsidRDefault="009B679E" w:rsidP="00FC3834">
            <w:pPr>
              <w:snapToGrid w:val="0"/>
              <w:spacing w:after="36" w:line="276" w:lineRule="auto"/>
              <w:ind w:left="12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職</w:t>
            </w:r>
            <w:proofErr w:type="gramStart"/>
            <w:r w:rsidRPr="00C353CB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C353CB">
              <w:rPr>
                <w:rFonts w:ascii="標楷體" w:eastAsia="標楷體" w:hAnsi="標楷體"/>
                <w:szCs w:val="24"/>
              </w:rPr>
              <w:t>輔</w:t>
            </w:r>
            <w:r w:rsidRPr="00C353CB">
              <w:rPr>
                <w:rFonts w:ascii="標楷體" w:eastAsia="標楷體" w:hAnsi="標楷體" w:hint="eastAsia"/>
                <w:szCs w:val="24"/>
              </w:rPr>
              <w:t>導</w:t>
            </w:r>
            <w:r w:rsidRPr="00C353CB">
              <w:rPr>
                <w:rFonts w:ascii="標楷體" w:eastAsia="標楷體" w:hAnsi="標楷體"/>
                <w:szCs w:val="24"/>
              </w:rPr>
              <w:t>服務年資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9BC8A" w14:textId="77777777" w:rsidR="009B679E" w:rsidRPr="00C353CB" w:rsidRDefault="009B679E" w:rsidP="00FC3834">
            <w:pPr>
              <w:snapToGrid w:val="0"/>
              <w:spacing w:after="36"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B679E" w:rsidRPr="00C353CB" w14:paraId="0FCFD982" w14:textId="77777777" w:rsidTr="00FC3834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0BEC9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服務</w:t>
            </w:r>
          </w:p>
          <w:p w14:paraId="2C53E7A2" w14:textId="77777777" w:rsidR="009B679E" w:rsidRPr="00C353CB" w:rsidRDefault="009B679E" w:rsidP="00FC3834">
            <w:pPr>
              <w:snapToGrid w:val="0"/>
              <w:spacing w:after="36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353CB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9F7B0" w14:textId="77777777" w:rsidR="009B679E" w:rsidRPr="00C353CB" w:rsidRDefault="009B679E" w:rsidP="00FC3834">
            <w:pPr>
              <w:snapToGrid w:val="0"/>
              <w:spacing w:after="36"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679E" w:rsidRPr="0071221F" w14:paraId="3629B445" w14:textId="77777777" w:rsidTr="00FC3834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7F70A" w14:textId="77777777" w:rsidR="009B679E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/>
                <w:szCs w:val="24"/>
              </w:rPr>
              <w:t>評分項目</w:t>
            </w:r>
          </w:p>
          <w:p w14:paraId="7F2D17EA" w14:textId="77777777" w:rsidR="009B679E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/>
                <w:szCs w:val="24"/>
              </w:rPr>
              <w:t>與</w:t>
            </w:r>
          </w:p>
          <w:p w14:paraId="7FFB71AD" w14:textId="77777777" w:rsidR="009B679E" w:rsidRPr="0071221F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71221F">
              <w:rPr>
                <w:rFonts w:ascii="Arial Unicode MS" w:eastAsia="標楷體" w:hAnsi="Arial Unicode MS"/>
                <w:szCs w:val="24"/>
              </w:rPr>
              <w:t>具體績效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3DA6F" w14:textId="77777777" w:rsidR="008C311E" w:rsidRDefault="008C311E" w:rsidP="008C311E">
            <w:pPr>
              <w:snapToGrid w:val="0"/>
              <w:spacing w:after="36"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8C311E">
              <w:rPr>
                <w:rFonts w:ascii="Arial Unicode MS" w:eastAsia="標楷體" w:hAnsi="Arial Unicode MS" w:hint="eastAsia"/>
                <w:szCs w:val="24"/>
              </w:rPr>
              <w:t>(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一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 xml:space="preserve">) 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行政配合度（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30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％），包含班級</w:t>
            </w:r>
            <w:proofErr w:type="spellStart"/>
            <w:r w:rsidRPr="008C311E">
              <w:rPr>
                <w:rFonts w:ascii="Arial Unicode MS" w:eastAsia="標楷體" w:hAnsi="Arial Unicode MS" w:hint="eastAsia"/>
                <w:szCs w:val="24"/>
              </w:rPr>
              <w:t>Ucan</w:t>
            </w:r>
            <w:proofErr w:type="spellEnd"/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施測率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、職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涯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輔導知能研習參與度、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職輔活動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推廣及學生履歷自傳完成率等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。</w:t>
            </w:r>
          </w:p>
          <w:p w14:paraId="27352407" w14:textId="77777777" w:rsidR="008C311E" w:rsidRDefault="008C311E" w:rsidP="008C311E">
            <w:pPr>
              <w:snapToGrid w:val="0"/>
              <w:spacing w:after="36"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8C311E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二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 xml:space="preserve">) 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職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涯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輔導補助計畫執行成效（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20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％），包含教育部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青發署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、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勞動部等計畫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申請與執行成效等。</w:t>
            </w:r>
          </w:p>
          <w:p w14:paraId="0662E7B7" w14:textId="77777777" w:rsidR="008C311E" w:rsidRDefault="008C311E" w:rsidP="008C311E">
            <w:pPr>
              <w:snapToGrid w:val="0"/>
              <w:spacing w:after="36"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8C311E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三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 xml:space="preserve">) 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職</w:t>
            </w:r>
            <w:proofErr w:type="gramStart"/>
            <w:r w:rsidRPr="008C311E">
              <w:rPr>
                <w:rFonts w:ascii="Arial Unicode MS" w:eastAsia="標楷體" w:hAnsi="Arial Unicode MS" w:hint="eastAsia"/>
                <w:szCs w:val="24"/>
              </w:rPr>
              <w:t>涯</w:t>
            </w:r>
            <w:proofErr w:type="gramEnd"/>
            <w:r w:rsidRPr="008C311E">
              <w:rPr>
                <w:rFonts w:ascii="Arial Unicode MS" w:eastAsia="標楷體" w:hAnsi="Arial Unicode MS" w:hint="eastAsia"/>
                <w:szCs w:val="24"/>
              </w:rPr>
              <w:t>諮詢成效（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20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％），包含量化、質化成效。</w:t>
            </w:r>
          </w:p>
          <w:p w14:paraId="14DCFCA4" w14:textId="77777777" w:rsidR="008C311E" w:rsidRDefault="008C311E" w:rsidP="008C311E">
            <w:pPr>
              <w:snapToGrid w:val="0"/>
              <w:spacing w:after="36"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8C311E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四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 xml:space="preserve">) 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畢業生流向調查（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15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％）。</w:t>
            </w:r>
          </w:p>
          <w:p w14:paraId="56382C1B" w14:textId="7CD4DBF8" w:rsidR="009B679E" w:rsidRDefault="008C311E" w:rsidP="008C311E">
            <w:pPr>
              <w:snapToGrid w:val="0"/>
              <w:spacing w:after="36"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8C311E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五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 xml:space="preserve">) 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其他特殊貢獻（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15</w:t>
            </w:r>
            <w:r w:rsidRPr="008C311E">
              <w:rPr>
                <w:rFonts w:ascii="Arial Unicode MS" w:eastAsia="標楷體" w:hAnsi="Arial Unicode MS" w:hint="eastAsia"/>
                <w:szCs w:val="24"/>
              </w:rPr>
              <w:t>％），包含專業證照與競賽指導、產學橋接媒合等。</w:t>
            </w:r>
          </w:p>
          <w:p w14:paraId="4400F547" w14:textId="77777777" w:rsidR="009B679E" w:rsidRDefault="009B679E" w:rsidP="008C311E">
            <w:pPr>
              <w:pStyle w:val="a8"/>
              <w:snapToGrid w:val="0"/>
              <w:spacing w:after="36" w:line="360" w:lineRule="exact"/>
              <w:ind w:leftChars="15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73CE8D17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5607A590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7E67690A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60359BC4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03A5A737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050CA9DF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3BC4D02B" w14:textId="77777777" w:rsidR="009B679E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  <w:p w14:paraId="0872C62F" w14:textId="77777777" w:rsidR="009B679E" w:rsidRPr="0071221F" w:rsidRDefault="009B679E" w:rsidP="00FC3834">
            <w:pPr>
              <w:pStyle w:val="a8"/>
              <w:snapToGrid w:val="0"/>
              <w:spacing w:after="36" w:line="360" w:lineRule="exact"/>
              <w:ind w:leftChars="0" w:left="360"/>
              <w:jc w:val="both"/>
              <w:rPr>
                <w:rFonts w:ascii="Arial Unicode MS" w:eastAsia="標楷體" w:hAnsi="Arial Unicode MS"/>
                <w:szCs w:val="24"/>
              </w:rPr>
            </w:pPr>
          </w:p>
        </w:tc>
      </w:tr>
      <w:tr w:rsidR="009B679E" w:rsidRPr="005F62ED" w14:paraId="0BDD8DA6" w14:textId="77777777" w:rsidTr="00FC3834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58192" w14:textId="77777777" w:rsidR="009B679E" w:rsidRPr="00957267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957267">
              <w:rPr>
                <w:rFonts w:ascii="Arial Unicode MS" w:eastAsia="標楷體" w:hAnsi="Arial Unicode MS"/>
                <w:szCs w:val="24"/>
              </w:rPr>
              <w:t>書面資料</w:t>
            </w:r>
          </w:p>
          <w:p w14:paraId="7D78BB51" w14:textId="77777777" w:rsidR="009B679E" w:rsidRPr="00957267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957267">
              <w:rPr>
                <w:rFonts w:ascii="Arial Unicode MS" w:eastAsia="標楷體" w:hAnsi="Arial Unicode MS"/>
                <w:szCs w:val="24"/>
              </w:rPr>
              <w:t>附件列表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7073E" w14:textId="77777777" w:rsidR="009B679E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  <w:p w14:paraId="579D8FE4" w14:textId="77777777" w:rsidR="009B679E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  <w:p w14:paraId="52A60AC6" w14:textId="77777777" w:rsidR="009B679E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  <w:p w14:paraId="46F82BD1" w14:textId="77777777" w:rsidR="009B679E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  <w:p w14:paraId="39B5BB41" w14:textId="77777777" w:rsidR="009B679E" w:rsidRPr="008745E0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</w:tc>
      </w:tr>
      <w:tr w:rsidR="009B679E" w:rsidRPr="00957267" w14:paraId="561882D3" w14:textId="77777777" w:rsidTr="00FC3834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FD566" w14:textId="77777777" w:rsidR="009B679E" w:rsidRPr="00957267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957267">
              <w:rPr>
                <w:rFonts w:ascii="Arial Unicode MS" w:eastAsia="標楷體" w:hAnsi="Arial Unicode MS"/>
                <w:szCs w:val="24"/>
              </w:rPr>
              <w:t>申請人</w:t>
            </w:r>
          </w:p>
          <w:p w14:paraId="21FA7775" w14:textId="77777777" w:rsidR="009B679E" w:rsidRPr="00957267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957267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957267">
              <w:rPr>
                <w:rFonts w:ascii="Arial Unicode MS" w:eastAsia="標楷體" w:hAnsi="Arial Unicode MS" w:hint="eastAsia"/>
                <w:szCs w:val="24"/>
              </w:rPr>
              <w:t>簽名或蓋章</w:t>
            </w:r>
            <w:r w:rsidRPr="00957267">
              <w:rPr>
                <w:rFonts w:ascii="Arial Unicode MS" w:eastAsia="標楷體" w:hAnsi="Arial Unicode MS" w:hint="eastAsia"/>
                <w:szCs w:val="24"/>
              </w:rPr>
              <w:t>)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58F55" w14:textId="77777777" w:rsidR="009B679E" w:rsidRPr="00276C23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</w:tc>
      </w:tr>
      <w:tr w:rsidR="009B679E" w:rsidRPr="00957267" w14:paraId="3AF85FF8" w14:textId="77777777" w:rsidTr="00FC3834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FB56B" w14:textId="77777777" w:rsidR="009B679E" w:rsidRPr="00957267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957267">
              <w:rPr>
                <w:rFonts w:ascii="Arial Unicode MS" w:eastAsia="標楷體" w:hAnsi="Arial Unicode MS"/>
                <w:szCs w:val="24"/>
              </w:rPr>
              <w:t>單位</w:t>
            </w:r>
            <w:r w:rsidRPr="00957267">
              <w:rPr>
                <w:rFonts w:ascii="Arial Unicode MS" w:eastAsia="標楷體" w:hAnsi="Arial Unicode MS" w:hint="eastAsia"/>
                <w:szCs w:val="24"/>
              </w:rPr>
              <w:t>主管</w:t>
            </w:r>
          </w:p>
          <w:p w14:paraId="43BF7867" w14:textId="77777777" w:rsidR="009B679E" w:rsidRPr="00957267" w:rsidRDefault="009B679E" w:rsidP="00FC3834">
            <w:pPr>
              <w:snapToGrid w:val="0"/>
              <w:spacing w:after="36" w:line="360" w:lineRule="exact"/>
              <w:jc w:val="center"/>
              <w:rPr>
                <w:rFonts w:ascii="Arial Unicode MS" w:eastAsia="標楷體" w:hAnsi="Arial Unicode MS"/>
                <w:szCs w:val="24"/>
              </w:rPr>
            </w:pPr>
            <w:r w:rsidRPr="00957267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957267">
              <w:rPr>
                <w:rFonts w:ascii="Arial Unicode MS" w:eastAsia="標楷體" w:hAnsi="Arial Unicode MS" w:hint="eastAsia"/>
                <w:szCs w:val="24"/>
              </w:rPr>
              <w:t>簽名或蓋章</w:t>
            </w:r>
            <w:r w:rsidRPr="00957267">
              <w:rPr>
                <w:rFonts w:ascii="Arial Unicode MS" w:eastAsia="標楷體" w:hAnsi="Arial Unicode MS" w:hint="eastAsia"/>
                <w:szCs w:val="24"/>
              </w:rPr>
              <w:t>)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AD98B" w14:textId="77777777" w:rsidR="009B679E" w:rsidRPr="00276C23" w:rsidRDefault="009B679E" w:rsidP="00FC3834">
            <w:pPr>
              <w:pStyle w:val="a8"/>
              <w:spacing w:line="360" w:lineRule="exact"/>
              <w:ind w:leftChars="0" w:left="360" w:hanging="360"/>
              <w:rPr>
                <w:rFonts w:ascii="Arial Unicode MS" w:eastAsia="標楷體" w:hAnsi="Arial Unicode MS"/>
                <w:szCs w:val="24"/>
              </w:rPr>
            </w:pPr>
          </w:p>
        </w:tc>
      </w:tr>
    </w:tbl>
    <w:p w14:paraId="658688F4" w14:textId="77777777" w:rsidR="009B679E" w:rsidRDefault="009B679E" w:rsidP="009B679E">
      <w:pPr>
        <w:spacing w:line="360" w:lineRule="exact"/>
        <w:rPr>
          <w:rFonts w:ascii="Arial Unicode MS" w:eastAsia="標楷體" w:hAnsi="Arial Unicode MS"/>
        </w:rPr>
      </w:pPr>
    </w:p>
    <w:p w14:paraId="6F61BF23" w14:textId="77777777" w:rsidR="00C14EDF" w:rsidRDefault="00C14EDF" w:rsidP="00C14EDF"/>
    <w:sectPr w:rsidR="00C14EDF" w:rsidSect="009B6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9F7BD" w14:textId="77777777" w:rsidR="00545F43" w:rsidRDefault="00545F43" w:rsidP="00EC7E3B">
      <w:r>
        <w:separator/>
      </w:r>
    </w:p>
  </w:endnote>
  <w:endnote w:type="continuationSeparator" w:id="0">
    <w:p w14:paraId="58F26CAB" w14:textId="77777777" w:rsidR="00545F43" w:rsidRDefault="00545F43" w:rsidP="00EC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9AAC" w14:textId="77777777" w:rsidR="00545F43" w:rsidRDefault="00545F43" w:rsidP="00EC7E3B">
      <w:r>
        <w:separator/>
      </w:r>
    </w:p>
  </w:footnote>
  <w:footnote w:type="continuationSeparator" w:id="0">
    <w:p w14:paraId="5087D7D6" w14:textId="77777777" w:rsidR="00545F43" w:rsidRDefault="00545F43" w:rsidP="00EC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1BE"/>
    <w:multiLevelType w:val="hybridMultilevel"/>
    <w:tmpl w:val="0D50F24C"/>
    <w:lvl w:ilvl="0" w:tplc="4F8881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DF"/>
    <w:rsid w:val="000804D3"/>
    <w:rsid w:val="001622F7"/>
    <w:rsid w:val="00224413"/>
    <w:rsid w:val="00237554"/>
    <w:rsid w:val="0024142D"/>
    <w:rsid w:val="00284FAC"/>
    <w:rsid w:val="002C5539"/>
    <w:rsid w:val="004A12E9"/>
    <w:rsid w:val="00545F43"/>
    <w:rsid w:val="00650946"/>
    <w:rsid w:val="00710481"/>
    <w:rsid w:val="00775BAA"/>
    <w:rsid w:val="007B60D8"/>
    <w:rsid w:val="008B34ED"/>
    <w:rsid w:val="008C311E"/>
    <w:rsid w:val="00903C71"/>
    <w:rsid w:val="00941E46"/>
    <w:rsid w:val="009B03E0"/>
    <w:rsid w:val="009B679E"/>
    <w:rsid w:val="00B608D6"/>
    <w:rsid w:val="00BA53A2"/>
    <w:rsid w:val="00BC3B24"/>
    <w:rsid w:val="00C14EDF"/>
    <w:rsid w:val="00C83224"/>
    <w:rsid w:val="00E10893"/>
    <w:rsid w:val="00E56581"/>
    <w:rsid w:val="00EB33B1"/>
    <w:rsid w:val="00EB4420"/>
    <w:rsid w:val="00EC7E3B"/>
    <w:rsid w:val="00E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B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679E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E3B"/>
    <w:rPr>
      <w:sz w:val="20"/>
      <w:szCs w:val="20"/>
    </w:rPr>
  </w:style>
  <w:style w:type="table" w:styleId="a7">
    <w:name w:val="Table Grid"/>
    <w:basedOn w:val="a1"/>
    <w:uiPriority w:val="59"/>
    <w:unhideWhenUsed/>
    <w:rsid w:val="009B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9B679E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9B679E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locked/>
    <w:rsid w:val="009B679E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679E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E3B"/>
    <w:rPr>
      <w:sz w:val="20"/>
      <w:szCs w:val="20"/>
    </w:rPr>
  </w:style>
  <w:style w:type="table" w:styleId="a7">
    <w:name w:val="Table Grid"/>
    <w:basedOn w:val="a1"/>
    <w:uiPriority w:val="59"/>
    <w:unhideWhenUsed/>
    <w:rsid w:val="009B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9B679E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9B679E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locked/>
    <w:rsid w:val="009B679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2020-09-16T00:15:00Z</dcterms:created>
  <dcterms:modified xsi:type="dcterms:W3CDTF">2020-09-16T00:15:00Z</dcterms:modified>
</cp:coreProperties>
</file>