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BB04" w14:textId="3991B25D" w:rsidR="000C37AE" w:rsidRDefault="00C0309F" w:rsidP="00F26124">
      <w:pPr>
        <w:snapToGrid w:val="0"/>
        <w:jc w:val="center"/>
        <w:rPr>
          <w:rFonts w:ascii="標楷體" w:eastAsia="標楷體" w:hAnsi="標楷體"/>
          <w:b/>
          <w:sz w:val="40"/>
        </w:rPr>
      </w:pPr>
      <w:bookmarkStart w:id="0" w:name="_GoBack"/>
      <w:bookmarkEnd w:id="0"/>
      <w:r w:rsidRPr="00344661">
        <w:rPr>
          <w:rFonts w:ascii="標楷體" w:eastAsia="標楷體" w:hAnsi="標楷體" w:hint="eastAsia"/>
          <w:b/>
          <w:sz w:val="40"/>
        </w:rPr>
        <w:t>海洋委員會補捐助海洋事務研究活動作業要點</w:t>
      </w:r>
    </w:p>
    <w:p w14:paraId="203D012A" w14:textId="5F627E6C" w:rsidR="00AD4EAB" w:rsidRDefault="00AD4EAB" w:rsidP="00F26124">
      <w:pPr>
        <w:snapToGrid w:val="0"/>
        <w:jc w:val="center"/>
        <w:rPr>
          <w:rFonts w:ascii="標楷體" w:eastAsia="標楷體" w:hAnsi="標楷體"/>
          <w:b/>
          <w:sz w:val="40"/>
        </w:rPr>
      </w:pPr>
    </w:p>
    <w:p w14:paraId="0BE27218" w14:textId="77777777" w:rsidR="00AD4EAB" w:rsidRPr="00AD4EAB" w:rsidRDefault="00AD4EAB" w:rsidP="00AD4EAB">
      <w:pPr>
        <w:snapToGrid w:val="0"/>
        <w:jc w:val="right"/>
        <w:rPr>
          <w:rFonts w:ascii="標楷體" w:eastAsia="標楷體" w:hAnsi="標楷體"/>
        </w:rPr>
      </w:pPr>
      <w:r w:rsidRPr="00AD4EAB">
        <w:rPr>
          <w:rFonts w:ascii="標楷體" w:eastAsia="標楷體" w:hAnsi="標楷體" w:hint="eastAsia"/>
        </w:rPr>
        <w:t>中華民國93年9月9日署企研字第0930014256號函訂定</w:t>
      </w:r>
    </w:p>
    <w:p w14:paraId="093FAC75" w14:textId="77777777" w:rsidR="00AD4EAB" w:rsidRPr="00AD4EAB" w:rsidRDefault="00AD4EAB" w:rsidP="00AD4EAB">
      <w:pPr>
        <w:snapToGrid w:val="0"/>
        <w:jc w:val="right"/>
        <w:rPr>
          <w:rFonts w:ascii="標楷體" w:eastAsia="標楷體" w:hAnsi="標楷體"/>
        </w:rPr>
      </w:pPr>
      <w:r w:rsidRPr="00AD4EAB">
        <w:rPr>
          <w:rFonts w:ascii="標楷體" w:eastAsia="標楷體" w:hAnsi="標楷體" w:hint="eastAsia"/>
        </w:rPr>
        <w:t>中華民國93年12月8日署企研字第0930019176號函修正</w:t>
      </w:r>
    </w:p>
    <w:p w14:paraId="6AC7BEA5" w14:textId="77777777" w:rsidR="00AD4EAB" w:rsidRPr="00AD4EAB" w:rsidRDefault="00AD4EAB" w:rsidP="00AD4EAB">
      <w:pPr>
        <w:snapToGrid w:val="0"/>
        <w:jc w:val="right"/>
        <w:rPr>
          <w:rFonts w:ascii="標楷體" w:eastAsia="標楷體" w:hAnsi="標楷體"/>
        </w:rPr>
      </w:pPr>
      <w:r w:rsidRPr="00AD4EAB">
        <w:rPr>
          <w:rFonts w:ascii="標楷體" w:eastAsia="標楷體" w:hAnsi="標楷體" w:hint="eastAsia"/>
        </w:rPr>
        <w:t>中華民國94年3月21日署企研字第0940004426號函修正</w:t>
      </w:r>
    </w:p>
    <w:p w14:paraId="6D83F3E2" w14:textId="59D12F40" w:rsidR="00AD4EAB" w:rsidRDefault="00AD4EAB" w:rsidP="00AD4EAB">
      <w:pPr>
        <w:snapToGrid w:val="0"/>
        <w:jc w:val="right"/>
        <w:rPr>
          <w:rFonts w:ascii="標楷體" w:eastAsia="標楷體" w:hAnsi="標楷體"/>
        </w:rPr>
      </w:pPr>
      <w:r w:rsidRPr="00AD4EAB">
        <w:rPr>
          <w:rFonts w:ascii="標楷體" w:eastAsia="標楷體" w:hAnsi="標楷體" w:hint="eastAsia"/>
        </w:rPr>
        <w:t>中華民國101年8月27日署企管字第1010014259號函修正</w:t>
      </w:r>
    </w:p>
    <w:p w14:paraId="490EA056" w14:textId="61F410E6" w:rsidR="00AD4EAB" w:rsidRDefault="00AD4EAB" w:rsidP="00AD4EAB">
      <w:pPr>
        <w:snapToGrid w:val="0"/>
        <w:jc w:val="right"/>
        <w:rPr>
          <w:rFonts w:ascii="標楷體" w:eastAsia="標楷體" w:hAnsi="標楷體"/>
        </w:rPr>
      </w:pPr>
      <w:r w:rsidRPr="00AD4EAB">
        <w:rPr>
          <w:rFonts w:ascii="標楷體" w:eastAsia="標楷體" w:hAnsi="標楷體" w:hint="eastAsia"/>
        </w:rPr>
        <w:t>中華民國10</w:t>
      </w:r>
      <w:r>
        <w:rPr>
          <w:rFonts w:ascii="標楷體" w:eastAsia="標楷體" w:hAnsi="標楷體" w:hint="eastAsia"/>
        </w:rPr>
        <w:t>7</w:t>
      </w:r>
      <w:r w:rsidRPr="00AD4EAB">
        <w:rPr>
          <w:rFonts w:ascii="標楷體" w:eastAsia="標楷體" w:hAnsi="標楷體" w:hint="eastAsia"/>
        </w:rPr>
        <w:t>年</w:t>
      </w:r>
      <w:r>
        <w:rPr>
          <w:rFonts w:ascii="標楷體" w:eastAsia="標楷體" w:hAnsi="標楷體" w:hint="eastAsia"/>
        </w:rPr>
        <w:t>5</w:t>
      </w:r>
      <w:r w:rsidRPr="00AD4EAB">
        <w:rPr>
          <w:rFonts w:ascii="標楷體" w:eastAsia="標楷體" w:hAnsi="標楷體" w:hint="eastAsia"/>
        </w:rPr>
        <w:t>月</w:t>
      </w:r>
      <w:r w:rsidR="002C17A5">
        <w:rPr>
          <w:rFonts w:ascii="標楷體" w:eastAsia="標楷體" w:hAnsi="標楷體" w:hint="eastAsia"/>
        </w:rPr>
        <w:t>21</w:t>
      </w:r>
      <w:r w:rsidRPr="00AD4EAB">
        <w:rPr>
          <w:rFonts w:ascii="標楷體" w:eastAsia="標楷體" w:hAnsi="標楷體" w:hint="eastAsia"/>
        </w:rPr>
        <w:t>日</w:t>
      </w:r>
      <w:r>
        <w:rPr>
          <w:rFonts w:ascii="標楷體" w:eastAsia="標楷體" w:hAnsi="標楷體" w:hint="eastAsia"/>
        </w:rPr>
        <w:t>海綜研字</w:t>
      </w:r>
      <w:r w:rsidRPr="00AD4EAB">
        <w:rPr>
          <w:rFonts w:ascii="標楷體" w:eastAsia="標楷體" w:hAnsi="標楷體" w:hint="eastAsia"/>
        </w:rPr>
        <w:t>第</w:t>
      </w:r>
      <w:r w:rsidR="000538D9">
        <w:rPr>
          <w:rFonts w:ascii="標楷體" w:eastAsia="標楷體" w:hAnsi="標楷體" w:hint="eastAsia"/>
        </w:rPr>
        <w:t>1070000481</w:t>
      </w:r>
      <w:r w:rsidRPr="00AD4EAB">
        <w:rPr>
          <w:rFonts w:ascii="標楷體" w:eastAsia="標楷體" w:hAnsi="標楷體" w:hint="eastAsia"/>
        </w:rPr>
        <w:t>號函修正</w:t>
      </w:r>
    </w:p>
    <w:p w14:paraId="6978C958" w14:textId="77777777" w:rsidR="00AD4EAB" w:rsidRPr="00AD4EAB" w:rsidRDefault="00AD4EAB" w:rsidP="00AD4EAB">
      <w:pPr>
        <w:snapToGrid w:val="0"/>
        <w:jc w:val="right"/>
        <w:rPr>
          <w:rFonts w:ascii="標楷體" w:eastAsia="標楷體" w:hAnsi="標楷體"/>
        </w:rPr>
      </w:pPr>
    </w:p>
    <w:p w14:paraId="40206874" w14:textId="77777777" w:rsidR="00C0309F" w:rsidRPr="00ED17F4" w:rsidRDefault="00C0309F"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海洋委員會（以下簡稱本會）為補（捐）助國內大專院校及學術研究機構進行與海洋事務相關之研究活動，以利海洋事務之研究發展，特訂定本要點。</w:t>
      </w:r>
    </w:p>
    <w:p w14:paraId="441D4912" w14:textId="77777777" w:rsidR="00C0309F" w:rsidRPr="00ED17F4" w:rsidRDefault="00C0309F" w:rsidP="00114888">
      <w:pPr>
        <w:pStyle w:val="a3"/>
        <w:numPr>
          <w:ilvl w:val="0"/>
          <w:numId w:val="1"/>
        </w:numPr>
        <w:snapToGrid w:val="0"/>
        <w:ind w:leftChars="0" w:left="709" w:hanging="709"/>
        <w:jc w:val="both"/>
        <w:rPr>
          <w:rFonts w:ascii="標楷體" w:eastAsia="標楷體" w:hAnsi="標楷體"/>
          <w:sz w:val="32"/>
        </w:rPr>
      </w:pPr>
      <w:bookmarkStart w:id="1" w:name="_Hlk513123401"/>
      <w:r w:rsidRPr="00ED17F4">
        <w:rPr>
          <w:rFonts w:ascii="標楷體" w:eastAsia="標楷體" w:hAnsi="標楷體" w:hint="eastAsia"/>
          <w:sz w:val="32"/>
        </w:rPr>
        <w:t>補（捐）助對象：</w:t>
      </w:r>
    </w:p>
    <w:p w14:paraId="36340549" w14:textId="4DC1ADD2" w:rsidR="00C0309F" w:rsidRPr="00ED17F4" w:rsidRDefault="00C0309F" w:rsidP="00114888">
      <w:pPr>
        <w:pStyle w:val="a3"/>
        <w:numPr>
          <w:ilvl w:val="0"/>
          <w:numId w:val="4"/>
        </w:numPr>
        <w:snapToGrid w:val="0"/>
        <w:ind w:leftChars="0" w:left="993" w:hanging="709"/>
        <w:jc w:val="both"/>
        <w:rPr>
          <w:rFonts w:ascii="標楷體" w:eastAsia="標楷體" w:hAnsi="標楷體"/>
          <w:sz w:val="32"/>
        </w:rPr>
      </w:pPr>
      <w:bookmarkStart w:id="2" w:name="_Hlk513123086"/>
      <w:bookmarkEnd w:id="1"/>
      <w:r w:rsidRPr="00ED17F4">
        <w:rPr>
          <w:rFonts w:ascii="標楷體" w:eastAsia="標楷體" w:hAnsi="標楷體" w:hint="eastAsia"/>
          <w:sz w:val="32"/>
        </w:rPr>
        <w:t>申請單位：</w:t>
      </w:r>
    </w:p>
    <w:p w14:paraId="474235DF" w14:textId="77777777" w:rsidR="00C0309F" w:rsidRPr="00ED17F4" w:rsidRDefault="00C0309F" w:rsidP="00114888">
      <w:pPr>
        <w:pStyle w:val="a3"/>
        <w:numPr>
          <w:ilvl w:val="0"/>
          <w:numId w:val="3"/>
        </w:numPr>
        <w:snapToGrid w:val="0"/>
        <w:ind w:leftChars="0" w:left="993" w:hanging="426"/>
        <w:jc w:val="both"/>
        <w:rPr>
          <w:rFonts w:ascii="標楷體" w:eastAsia="標楷體" w:hAnsi="標楷體"/>
          <w:sz w:val="32"/>
        </w:rPr>
      </w:pPr>
      <w:r w:rsidRPr="00ED17F4">
        <w:rPr>
          <w:rFonts w:ascii="標楷體" w:eastAsia="標楷體" w:hAnsi="標楷體" w:hint="eastAsia"/>
          <w:sz w:val="32"/>
        </w:rPr>
        <w:t>國內公私立大專院校。</w:t>
      </w:r>
    </w:p>
    <w:p w14:paraId="6E01F9D4" w14:textId="7A957471" w:rsidR="00C0309F" w:rsidRPr="00ED17F4" w:rsidRDefault="00C0309F" w:rsidP="00114888">
      <w:pPr>
        <w:pStyle w:val="a3"/>
        <w:numPr>
          <w:ilvl w:val="0"/>
          <w:numId w:val="3"/>
        </w:numPr>
        <w:snapToGrid w:val="0"/>
        <w:ind w:leftChars="0" w:left="993" w:hanging="426"/>
        <w:jc w:val="both"/>
        <w:rPr>
          <w:rFonts w:ascii="標楷體" w:eastAsia="標楷體" w:hAnsi="標楷體"/>
          <w:sz w:val="32"/>
        </w:rPr>
      </w:pPr>
      <w:r w:rsidRPr="00ED17F4">
        <w:rPr>
          <w:rFonts w:ascii="標楷體" w:eastAsia="標楷體" w:hAnsi="標楷體" w:hint="eastAsia"/>
          <w:sz w:val="32"/>
        </w:rPr>
        <w:t>國內公立研究機</w:t>
      </w:r>
      <w:r w:rsidR="009B3147">
        <w:rPr>
          <w:rFonts w:ascii="標楷體" w:eastAsia="標楷體" w:hAnsi="標楷體" w:hint="eastAsia"/>
          <w:sz w:val="32"/>
        </w:rPr>
        <w:t>關（</w:t>
      </w:r>
      <w:r w:rsidRPr="00ED17F4">
        <w:rPr>
          <w:rFonts w:ascii="標楷體" w:eastAsia="標楷體" w:hAnsi="標楷體" w:hint="eastAsia"/>
          <w:sz w:val="32"/>
        </w:rPr>
        <w:t>構</w:t>
      </w:r>
      <w:r w:rsidR="009B3147">
        <w:rPr>
          <w:rFonts w:ascii="標楷體" w:eastAsia="標楷體" w:hAnsi="標楷體" w:hint="eastAsia"/>
          <w:sz w:val="32"/>
        </w:rPr>
        <w:t>）</w:t>
      </w:r>
      <w:r w:rsidRPr="00ED17F4">
        <w:rPr>
          <w:rFonts w:ascii="標楷體" w:eastAsia="標楷體" w:hAnsi="標楷體" w:hint="eastAsia"/>
          <w:sz w:val="32"/>
        </w:rPr>
        <w:t>及由主管機關依法設立之學術研究機</w:t>
      </w:r>
      <w:r w:rsidR="009B3147">
        <w:rPr>
          <w:rFonts w:ascii="標楷體" w:eastAsia="標楷體" w:hAnsi="標楷體" w:hint="eastAsia"/>
          <w:sz w:val="32"/>
        </w:rPr>
        <w:t>關（</w:t>
      </w:r>
      <w:r w:rsidRPr="00ED17F4">
        <w:rPr>
          <w:rFonts w:ascii="標楷體" w:eastAsia="標楷體" w:hAnsi="標楷體" w:hint="eastAsia"/>
          <w:sz w:val="32"/>
        </w:rPr>
        <w:t>構</w:t>
      </w:r>
      <w:r w:rsidR="009B3147">
        <w:rPr>
          <w:rFonts w:ascii="標楷體" w:eastAsia="標楷體" w:hAnsi="標楷體" w:hint="eastAsia"/>
          <w:sz w:val="32"/>
        </w:rPr>
        <w:t>）</w:t>
      </w:r>
      <w:r w:rsidRPr="00ED17F4">
        <w:rPr>
          <w:rFonts w:ascii="標楷體" w:eastAsia="標楷體" w:hAnsi="標楷體" w:hint="eastAsia"/>
          <w:sz w:val="32"/>
        </w:rPr>
        <w:t>。</w:t>
      </w:r>
    </w:p>
    <w:bookmarkEnd w:id="2"/>
    <w:p w14:paraId="0858C0A0" w14:textId="213B4CB0" w:rsidR="00C0309F" w:rsidRPr="00ED17F4" w:rsidRDefault="00C0309F" w:rsidP="00114888">
      <w:pPr>
        <w:pStyle w:val="a3"/>
        <w:numPr>
          <w:ilvl w:val="0"/>
          <w:numId w:val="4"/>
        </w:numPr>
        <w:snapToGrid w:val="0"/>
        <w:ind w:leftChars="0" w:left="993" w:hanging="709"/>
        <w:jc w:val="both"/>
        <w:rPr>
          <w:rFonts w:ascii="標楷體" w:eastAsia="標楷體" w:hAnsi="標楷體"/>
          <w:sz w:val="32"/>
        </w:rPr>
      </w:pPr>
      <w:r w:rsidRPr="00ED17F4">
        <w:rPr>
          <w:rFonts w:ascii="標楷體" w:eastAsia="標楷體" w:hAnsi="標楷體" w:hint="eastAsia"/>
          <w:sz w:val="32"/>
        </w:rPr>
        <w:t>補（捐）助標的：</w:t>
      </w:r>
    </w:p>
    <w:p w14:paraId="54C5A065" w14:textId="77777777" w:rsidR="00C0309F" w:rsidRPr="00ED17F4" w:rsidRDefault="00C0309F" w:rsidP="00114888">
      <w:pPr>
        <w:pStyle w:val="a3"/>
        <w:numPr>
          <w:ilvl w:val="0"/>
          <w:numId w:val="5"/>
        </w:numPr>
        <w:snapToGrid w:val="0"/>
        <w:ind w:leftChars="0" w:left="993" w:hanging="426"/>
        <w:jc w:val="both"/>
        <w:rPr>
          <w:rFonts w:ascii="標楷體" w:eastAsia="標楷體" w:hAnsi="標楷體"/>
          <w:sz w:val="32"/>
        </w:rPr>
      </w:pPr>
      <w:r w:rsidRPr="00ED17F4">
        <w:rPr>
          <w:rFonts w:ascii="標楷體" w:eastAsia="標楷體" w:hAnsi="標楷體" w:hint="eastAsia"/>
          <w:sz w:val="32"/>
        </w:rPr>
        <w:t>海洋事務相關學術研究會議，如研討（習）會、論壇、座談會、工作坊及論文發表會等。</w:t>
      </w:r>
    </w:p>
    <w:p w14:paraId="3CA73123" w14:textId="77777777" w:rsidR="00C0309F" w:rsidRPr="00ED17F4" w:rsidRDefault="00C0309F" w:rsidP="00114888">
      <w:pPr>
        <w:pStyle w:val="a3"/>
        <w:numPr>
          <w:ilvl w:val="0"/>
          <w:numId w:val="5"/>
        </w:numPr>
        <w:snapToGrid w:val="0"/>
        <w:ind w:leftChars="0" w:left="993" w:hanging="426"/>
        <w:jc w:val="both"/>
        <w:rPr>
          <w:rFonts w:ascii="標楷體" w:eastAsia="標楷體" w:hAnsi="標楷體"/>
          <w:sz w:val="32"/>
        </w:rPr>
      </w:pPr>
      <w:r w:rsidRPr="00ED17F4">
        <w:rPr>
          <w:rFonts w:ascii="標楷體" w:eastAsia="標楷體" w:hAnsi="標楷體" w:hint="eastAsia"/>
          <w:sz w:val="32"/>
        </w:rPr>
        <w:t>促進民眾對海洋研究或學術瞭解之活動，如研習營及研習活動等。</w:t>
      </w:r>
    </w:p>
    <w:p w14:paraId="5057F627" w14:textId="63B0AA95" w:rsidR="00C0309F" w:rsidRPr="00ED17F4" w:rsidRDefault="00C0309F" w:rsidP="00114888">
      <w:pPr>
        <w:pStyle w:val="a3"/>
        <w:numPr>
          <w:ilvl w:val="0"/>
          <w:numId w:val="5"/>
        </w:numPr>
        <w:snapToGrid w:val="0"/>
        <w:ind w:leftChars="0" w:left="993" w:hanging="426"/>
        <w:jc w:val="both"/>
        <w:rPr>
          <w:rFonts w:ascii="標楷體" w:eastAsia="標楷體" w:hAnsi="標楷體"/>
          <w:sz w:val="32"/>
        </w:rPr>
      </w:pPr>
      <w:r w:rsidRPr="00ED17F4">
        <w:rPr>
          <w:rFonts w:ascii="標楷體" w:eastAsia="標楷體" w:hAnsi="標楷體" w:hint="eastAsia"/>
          <w:sz w:val="32"/>
        </w:rPr>
        <w:t>其他促進海洋事務學術發展之研究活動。</w:t>
      </w:r>
    </w:p>
    <w:p w14:paraId="2F32107B" w14:textId="6B6CC0B3" w:rsidR="00C0309F" w:rsidRPr="00ED17F4" w:rsidRDefault="00C0309F" w:rsidP="00114888">
      <w:pPr>
        <w:pStyle w:val="a3"/>
        <w:numPr>
          <w:ilvl w:val="0"/>
          <w:numId w:val="4"/>
        </w:numPr>
        <w:snapToGrid w:val="0"/>
        <w:ind w:leftChars="0" w:left="993" w:hanging="709"/>
        <w:jc w:val="both"/>
        <w:rPr>
          <w:rFonts w:ascii="標楷體" w:eastAsia="標楷體" w:hAnsi="標楷體"/>
          <w:sz w:val="32"/>
        </w:rPr>
      </w:pPr>
      <w:bookmarkStart w:id="3" w:name="_Hlk513123449"/>
      <w:r w:rsidRPr="00ED17F4">
        <w:rPr>
          <w:rFonts w:ascii="標楷體" w:eastAsia="標楷體" w:hAnsi="標楷體" w:hint="eastAsia"/>
          <w:sz w:val="32"/>
        </w:rPr>
        <w:t>本會將依業務推展</w:t>
      </w:r>
      <w:r w:rsidR="0091289B">
        <w:rPr>
          <w:rFonts w:ascii="標楷體" w:eastAsia="標楷體" w:hAnsi="標楷體" w:hint="eastAsia"/>
          <w:sz w:val="32"/>
        </w:rPr>
        <w:t>需要</w:t>
      </w:r>
      <w:r w:rsidRPr="00ED17F4">
        <w:rPr>
          <w:rFonts w:ascii="標楷體" w:eastAsia="標楷體" w:hAnsi="標楷體" w:hint="eastAsia"/>
          <w:sz w:val="32"/>
        </w:rPr>
        <w:t>及國內外海洋事務發展情勢，於每年度二月</w:t>
      </w:r>
      <w:r w:rsidR="00A27910">
        <w:rPr>
          <w:rFonts w:ascii="標楷體" w:eastAsia="標楷體" w:hAnsi="標楷體" w:hint="eastAsia"/>
          <w:sz w:val="32"/>
        </w:rPr>
        <w:t>底</w:t>
      </w:r>
      <w:r w:rsidRPr="00ED17F4">
        <w:rPr>
          <w:rFonts w:ascii="標楷體" w:eastAsia="標楷體" w:hAnsi="標楷體" w:hint="eastAsia"/>
          <w:sz w:val="32"/>
        </w:rPr>
        <w:t>前擬定當年度重點補（捐）助之研究議題，並公告於本會全球資訊網，符合相關議題範疇之研究</w:t>
      </w:r>
      <w:r w:rsidR="0091289B">
        <w:rPr>
          <w:rFonts w:ascii="標楷體" w:eastAsia="標楷體" w:hAnsi="標楷體" w:hint="eastAsia"/>
          <w:sz w:val="32"/>
        </w:rPr>
        <w:t>活動</w:t>
      </w:r>
      <w:r w:rsidRPr="00ED17F4">
        <w:rPr>
          <w:rFonts w:ascii="標楷體" w:eastAsia="標楷體" w:hAnsi="標楷體" w:hint="eastAsia"/>
          <w:sz w:val="32"/>
        </w:rPr>
        <w:t>，將優先核予補助。</w:t>
      </w:r>
      <w:bookmarkEnd w:id="3"/>
    </w:p>
    <w:p w14:paraId="53A0E7F7" w14:textId="0E806F9C" w:rsidR="00C0309F" w:rsidRPr="00ED17F4" w:rsidRDefault="00C0309F"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申請程序及應備文件：</w:t>
      </w:r>
    </w:p>
    <w:p w14:paraId="574E999F" w14:textId="77777777" w:rsidR="001D59A9" w:rsidRPr="00ED17F4" w:rsidRDefault="00C0309F" w:rsidP="00114888">
      <w:pPr>
        <w:pStyle w:val="a3"/>
        <w:numPr>
          <w:ilvl w:val="0"/>
          <w:numId w:val="7"/>
        </w:numPr>
        <w:snapToGrid w:val="0"/>
        <w:ind w:leftChars="0" w:left="993" w:hanging="709"/>
        <w:jc w:val="both"/>
        <w:rPr>
          <w:rFonts w:ascii="標楷體" w:eastAsia="標楷體" w:hAnsi="標楷體"/>
          <w:sz w:val="32"/>
        </w:rPr>
      </w:pPr>
      <w:r w:rsidRPr="00ED17F4">
        <w:rPr>
          <w:rFonts w:ascii="標楷體" w:eastAsia="標楷體" w:hAnsi="標楷體" w:hint="eastAsia"/>
          <w:sz w:val="32"/>
        </w:rPr>
        <w:t>研究活動由申請單位向本會提出計畫書申請。</w:t>
      </w:r>
    </w:p>
    <w:p w14:paraId="13B9A547" w14:textId="7FA77C0A" w:rsidR="00C0309F" w:rsidRPr="00ED17F4" w:rsidRDefault="00C0309F" w:rsidP="00114888">
      <w:pPr>
        <w:pStyle w:val="a3"/>
        <w:numPr>
          <w:ilvl w:val="0"/>
          <w:numId w:val="7"/>
        </w:numPr>
        <w:snapToGrid w:val="0"/>
        <w:ind w:leftChars="0" w:left="993" w:hanging="709"/>
        <w:jc w:val="both"/>
        <w:rPr>
          <w:rFonts w:ascii="標楷體" w:eastAsia="標楷體" w:hAnsi="標楷體"/>
          <w:sz w:val="32"/>
        </w:rPr>
      </w:pPr>
      <w:r w:rsidRPr="00ED17F4">
        <w:rPr>
          <w:rFonts w:ascii="標楷體" w:eastAsia="標楷體" w:hAnsi="標楷體" w:hint="eastAsia"/>
          <w:sz w:val="32"/>
        </w:rPr>
        <w:t>計畫書內容需包含：</w:t>
      </w:r>
    </w:p>
    <w:p w14:paraId="763044B1" w14:textId="77777777" w:rsidR="001D59A9" w:rsidRPr="00ED17F4" w:rsidRDefault="00C0309F" w:rsidP="00114888">
      <w:pPr>
        <w:pStyle w:val="a3"/>
        <w:numPr>
          <w:ilvl w:val="0"/>
          <w:numId w:val="8"/>
        </w:numPr>
        <w:snapToGrid w:val="0"/>
        <w:ind w:leftChars="0" w:left="993" w:hanging="426"/>
        <w:jc w:val="both"/>
        <w:rPr>
          <w:rFonts w:ascii="標楷體" w:eastAsia="標楷體" w:hAnsi="標楷體"/>
          <w:sz w:val="32"/>
        </w:rPr>
      </w:pPr>
      <w:r w:rsidRPr="00ED17F4">
        <w:rPr>
          <w:rFonts w:ascii="標楷體" w:eastAsia="標楷體" w:hAnsi="標楷體" w:hint="eastAsia"/>
          <w:sz w:val="32"/>
        </w:rPr>
        <w:t>緣起與目的。</w:t>
      </w:r>
    </w:p>
    <w:p w14:paraId="28AE5EF4" w14:textId="77777777" w:rsidR="001D59A9" w:rsidRPr="00ED17F4" w:rsidRDefault="00C0309F" w:rsidP="00114888">
      <w:pPr>
        <w:pStyle w:val="a3"/>
        <w:numPr>
          <w:ilvl w:val="0"/>
          <w:numId w:val="8"/>
        </w:numPr>
        <w:snapToGrid w:val="0"/>
        <w:ind w:leftChars="0" w:left="993" w:hanging="426"/>
        <w:jc w:val="both"/>
        <w:rPr>
          <w:rFonts w:ascii="標楷體" w:eastAsia="標楷體" w:hAnsi="標楷體"/>
          <w:sz w:val="32"/>
        </w:rPr>
      </w:pPr>
      <w:r w:rsidRPr="00ED17F4">
        <w:rPr>
          <w:rFonts w:ascii="標楷體" w:eastAsia="標楷體" w:hAnsi="標楷體" w:hint="eastAsia"/>
          <w:sz w:val="32"/>
        </w:rPr>
        <w:t>實施方法。</w:t>
      </w:r>
    </w:p>
    <w:p w14:paraId="49BD23A5" w14:textId="77777777" w:rsidR="001D59A9" w:rsidRPr="00ED17F4" w:rsidRDefault="00C0309F" w:rsidP="00114888">
      <w:pPr>
        <w:pStyle w:val="a3"/>
        <w:numPr>
          <w:ilvl w:val="0"/>
          <w:numId w:val="8"/>
        </w:numPr>
        <w:snapToGrid w:val="0"/>
        <w:ind w:leftChars="0" w:left="993" w:hanging="426"/>
        <w:jc w:val="both"/>
        <w:rPr>
          <w:rFonts w:ascii="標楷體" w:eastAsia="標楷體" w:hAnsi="標楷體"/>
          <w:sz w:val="32"/>
        </w:rPr>
      </w:pPr>
      <w:r w:rsidRPr="00ED17F4">
        <w:rPr>
          <w:rFonts w:ascii="標楷體" w:eastAsia="標楷體" w:hAnsi="標楷體" w:hint="eastAsia"/>
          <w:sz w:val="32"/>
        </w:rPr>
        <w:t>預期效益。</w:t>
      </w:r>
    </w:p>
    <w:p w14:paraId="7E7E715A" w14:textId="77777777" w:rsidR="001D59A9" w:rsidRPr="00ED17F4" w:rsidRDefault="00C0309F" w:rsidP="00114888">
      <w:pPr>
        <w:pStyle w:val="a3"/>
        <w:numPr>
          <w:ilvl w:val="0"/>
          <w:numId w:val="8"/>
        </w:numPr>
        <w:snapToGrid w:val="0"/>
        <w:ind w:leftChars="0" w:left="993" w:hanging="426"/>
        <w:jc w:val="both"/>
        <w:rPr>
          <w:rFonts w:ascii="標楷體" w:eastAsia="標楷體" w:hAnsi="標楷體"/>
          <w:sz w:val="32"/>
        </w:rPr>
      </w:pPr>
      <w:r w:rsidRPr="00ED17F4">
        <w:rPr>
          <w:rFonts w:ascii="標楷體" w:eastAsia="標楷體" w:hAnsi="標楷體" w:hint="eastAsia"/>
          <w:sz w:val="32"/>
        </w:rPr>
        <w:t>經費概算。</w:t>
      </w:r>
    </w:p>
    <w:p w14:paraId="01A1D466" w14:textId="1E1CBD16" w:rsidR="001D59A9" w:rsidRPr="00ED17F4" w:rsidRDefault="00C0309F" w:rsidP="00114888">
      <w:pPr>
        <w:pStyle w:val="a3"/>
        <w:numPr>
          <w:ilvl w:val="0"/>
          <w:numId w:val="8"/>
        </w:numPr>
        <w:snapToGrid w:val="0"/>
        <w:ind w:leftChars="0" w:left="993" w:hanging="426"/>
        <w:jc w:val="both"/>
        <w:rPr>
          <w:rFonts w:ascii="標楷體" w:eastAsia="標楷體" w:hAnsi="標楷體"/>
          <w:sz w:val="32"/>
        </w:rPr>
      </w:pPr>
      <w:r w:rsidRPr="00ED17F4">
        <w:rPr>
          <w:rFonts w:ascii="標楷體" w:eastAsia="標楷體" w:hAnsi="標楷體" w:hint="eastAsia"/>
          <w:sz w:val="32"/>
        </w:rPr>
        <w:t>由二個以上機關補（捐）助者，應列明補</w:t>
      </w:r>
      <w:r w:rsidR="001A03D8" w:rsidRPr="00ED17F4">
        <w:rPr>
          <w:rFonts w:ascii="標楷體" w:eastAsia="標楷體" w:hAnsi="標楷體" w:hint="eastAsia"/>
          <w:sz w:val="32"/>
        </w:rPr>
        <w:t>（</w:t>
      </w:r>
      <w:r w:rsidRPr="00ED17F4">
        <w:rPr>
          <w:rFonts w:ascii="標楷體" w:eastAsia="標楷體" w:hAnsi="標楷體" w:hint="eastAsia"/>
          <w:sz w:val="32"/>
        </w:rPr>
        <w:t>捐</w:t>
      </w:r>
      <w:r w:rsidR="001A03D8" w:rsidRPr="00ED17F4">
        <w:rPr>
          <w:rFonts w:ascii="標楷體" w:eastAsia="標楷體" w:hAnsi="標楷體" w:hint="eastAsia"/>
          <w:sz w:val="32"/>
        </w:rPr>
        <w:t>）</w:t>
      </w:r>
      <w:r w:rsidRPr="00ED17F4">
        <w:rPr>
          <w:rFonts w:ascii="標楷體" w:eastAsia="標楷體" w:hAnsi="標楷體" w:hint="eastAsia"/>
          <w:sz w:val="32"/>
        </w:rPr>
        <w:t>助機</w:t>
      </w:r>
      <w:r w:rsidRPr="00ED17F4">
        <w:rPr>
          <w:rFonts w:ascii="標楷體" w:eastAsia="標楷體" w:hAnsi="標楷體" w:hint="eastAsia"/>
          <w:sz w:val="32"/>
        </w:rPr>
        <w:lastRenderedPageBreak/>
        <w:t>關及補</w:t>
      </w:r>
      <w:r w:rsidR="001A03D8" w:rsidRPr="00ED17F4">
        <w:rPr>
          <w:rFonts w:ascii="標楷體" w:eastAsia="標楷體" w:hAnsi="標楷體" w:hint="eastAsia"/>
          <w:sz w:val="32"/>
        </w:rPr>
        <w:t>（</w:t>
      </w:r>
      <w:r w:rsidRPr="00ED17F4">
        <w:rPr>
          <w:rFonts w:ascii="標楷體" w:eastAsia="標楷體" w:hAnsi="標楷體" w:hint="eastAsia"/>
          <w:sz w:val="32"/>
        </w:rPr>
        <w:t>捐</w:t>
      </w:r>
      <w:r w:rsidR="001A03D8" w:rsidRPr="00ED17F4">
        <w:rPr>
          <w:rFonts w:ascii="標楷體" w:eastAsia="標楷體" w:hAnsi="標楷體" w:hint="eastAsia"/>
          <w:sz w:val="32"/>
        </w:rPr>
        <w:t>）</w:t>
      </w:r>
      <w:r w:rsidRPr="00ED17F4">
        <w:rPr>
          <w:rFonts w:ascii="標楷體" w:eastAsia="標楷體" w:hAnsi="標楷體" w:hint="eastAsia"/>
          <w:sz w:val="32"/>
        </w:rPr>
        <w:t>助金額。</w:t>
      </w:r>
    </w:p>
    <w:p w14:paraId="39678D2F" w14:textId="77777777" w:rsidR="001D59A9" w:rsidRPr="00ED17F4" w:rsidRDefault="001D59A9"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研究活動期程：不得跨年度，並依實際需求申請。</w:t>
      </w:r>
    </w:p>
    <w:p w14:paraId="1C079E6F" w14:textId="25ABED78" w:rsidR="001D59A9" w:rsidRPr="00ED17F4" w:rsidRDefault="001D59A9" w:rsidP="00114888">
      <w:pPr>
        <w:pStyle w:val="a3"/>
        <w:numPr>
          <w:ilvl w:val="0"/>
          <w:numId w:val="1"/>
        </w:numPr>
        <w:snapToGrid w:val="0"/>
        <w:ind w:leftChars="0" w:left="709" w:hanging="709"/>
        <w:jc w:val="both"/>
        <w:rPr>
          <w:rFonts w:ascii="標楷體" w:eastAsia="標楷體" w:hAnsi="標楷體"/>
          <w:sz w:val="32"/>
        </w:rPr>
      </w:pPr>
      <w:bookmarkStart w:id="4" w:name="_Hlk513123817"/>
      <w:r w:rsidRPr="00ED17F4">
        <w:rPr>
          <w:rFonts w:ascii="標楷體" w:eastAsia="標楷體" w:hAnsi="標楷體" w:cs="Times New Roman" w:hint="eastAsia"/>
          <w:sz w:val="32"/>
          <w:szCs w:val="24"/>
        </w:rPr>
        <w:t>經費請撥及報支：</w:t>
      </w:r>
    </w:p>
    <w:bookmarkEnd w:id="4"/>
    <w:p w14:paraId="262865FC"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補（捐）助金額以不超過新臺幣二十萬元為原則，並於會計年度內辦理經費報支。</w:t>
      </w:r>
    </w:p>
    <w:p w14:paraId="7F4C3989"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同一案件向二個以上機關提出申請補（捐）助，應列明全部經費內容，及向各機關申請補（捐）助之項目及金額。如有隱匿不實或造假情事，將撤銷該補（捐）助案件，並收回已撥付款項。</w:t>
      </w:r>
    </w:p>
    <w:p w14:paraId="0292B292" w14:textId="347BB932"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對補（捐）助款運用之考核，如發現成效不佳、未依補（捐）助用途支用，或有虛報、浮報等情事，除應繳回該部分之補（捐）助經費外，得依情節輕重對該補（捐）助之</w:t>
      </w:r>
      <w:r w:rsidRPr="00ED17F4">
        <w:rPr>
          <w:rFonts w:ascii="標楷體" w:eastAsia="標楷體" w:hAnsi="標楷體" w:cs="Times New Roman" w:hint="eastAsia"/>
          <w:bCs/>
          <w:sz w:val="32"/>
          <w:szCs w:val="24"/>
        </w:rPr>
        <w:t>申請單位</w:t>
      </w:r>
      <w:r w:rsidRPr="00ED17F4">
        <w:rPr>
          <w:rFonts w:ascii="標楷體" w:eastAsia="標楷體" w:hAnsi="標楷體" w:cs="Times New Roman" w:hint="eastAsia"/>
          <w:sz w:val="32"/>
          <w:szCs w:val="24"/>
        </w:rPr>
        <w:t>停止補（捐）助一年至五年。</w:t>
      </w:r>
    </w:p>
    <w:p w14:paraId="4691D4EC"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受補（捐）助經費結報時，所檢附之支出憑證應依支出憑證處理要點規定辦理，並應詳列支出用途及全部實支經費總額，同一案件由二個以上機關補（捐）助者，應列明各機關實際補（捐）助金額。</w:t>
      </w:r>
    </w:p>
    <w:p w14:paraId="129F19C5"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受補（捐）助經費於補（捐）助案件結案時尚有結餘款，應按補（捐）助比例繳回。</w:t>
      </w:r>
    </w:p>
    <w:p w14:paraId="473E45EC"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受補（捐）助經費產生之利息或其他衍生收入，應於收支報告表中敘明，並於結案時繳回。</w:t>
      </w:r>
    </w:p>
    <w:p w14:paraId="00A6E3B8" w14:textId="4F326FB9"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受補（捐）助單位留存之原始憑證，應依</w:t>
      </w:r>
      <w:r w:rsidR="0075265A" w:rsidRPr="00ED17F4">
        <w:rPr>
          <w:rFonts w:ascii="標楷體" w:eastAsia="標楷體" w:hAnsi="標楷體" w:cs="Times New Roman" w:hint="eastAsia"/>
          <w:sz w:val="32"/>
          <w:szCs w:val="24"/>
        </w:rPr>
        <w:t>主</w:t>
      </w:r>
      <w:r w:rsidRPr="00ED17F4">
        <w:rPr>
          <w:rFonts w:ascii="標楷體" w:eastAsia="標楷體" w:hAnsi="標楷體" w:cs="Times New Roman" w:hint="eastAsia"/>
          <w:sz w:val="32"/>
          <w:szCs w:val="24"/>
        </w:rPr>
        <w:t>計法規定妥善保存與銷毀，已屆保存年限之銷毀，應函報本會轉請審計機關同意。如遇有提前銷毀，或有毀損、滅失等情事時，應敘明原因及處理情形，函報本會轉請審計機關同意。如經發現未確實辦理者，得依情節輕重對該補（捐）助案件或受補（捐）助單位酌減嗣後補（捐）助款或停止補（捐）助一年至五年。</w:t>
      </w:r>
    </w:p>
    <w:p w14:paraId="7CE5C19D"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受補（捐）助單位申請支付款項時，應本誠信原則對所提出支出憑證之支付事實及真實性負責，如有不實，應負相關責任。</w:t>
      </w:r>
    </w:p>
    <w:p w14:paraId="0BAB79D2"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補（捐）助經費中涉及採購事項，應依政府採購法等相關規定辦理。</w:t>
      </w:r>
    </w:p>
    <w:p w14:paraId="127D944F" w14:textId="77777777" w:rsidR="001D59A9" w:rsidRPr="00ED17F4" w:rsidRDefault="001D59A9" w:rsidP="00114888">
      <w:pPr>
        <w:pStyle w:val="a3"/>
        <w:numPr>
          <w:ilvl w:val="0"/>
          <w:numId w:val="10"/>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lastRenderedPageBreak/>
        <w:t>本會對補（捐）助經費，應依審計法施行細則第二十五條規定辦理憑證送審。</w:t>
      </w:r>
    </w:p>
    <w:p w14:paraId="2DFF299A" w14:textId="15A874DC" w:rsidR="001D59A9" w:rsidRPr="00ED17F4" w:rsidRDefault="001D59A9" w:rsidP="00114888">
      <w:pPr>
        <w:pStyle w:val="a3"/>
        <w:numPr>
          <w:ilvl w:val="0"/>
          <w:numId w:val="10"/>
        </w:numPr>
        <w:snapToGrid w:val="0"/>
        <w:ind w:leftChars="0" w:left="1276" w:hanging="992"/>
        <w:jc w:val="both"/>
        <w:rPr>
          <w:rFonts w:ascii="標楷體" w:eastAsia="標楷體" w:hAnsi="標楷體" w:cs="Times New Roman"/>
          <w:sz w:val="32"/>
          <w:szCs w:val="24"/>
        </w:rPr>
      </w:pPr>
      <w:r w:rsidRPr="00ED17F4">
        <w:rPr>
          <w:rFonts w:ascii="標楷體" w:eastAsia="標楷體" w:hAnsi="標楷體" w:cs="Times New Roman" w:hint="eastAsia"/>
          <w:sz w:val="32"/>
          <w:szCs w:val="24"/>
        </w:rPr>
        <w:t>經費用途應以核定計畫之項目為範圍。</w:t>
      </w:r>
    </w:p>
    <w:p w14:paraId="70E23AB4" w14:textId="63D6FFF9" w:rsidR="001D59A9" w:rsidRPr="00ED17F4" w:rsidRDefault="001D59A9"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審查作業程序：</w:t>
      </w:r>
    </w:p>
    <w:p w14:paraId="0CC4D229" w14:textId="6ECE4462" w:rsidR="00E516DD" w:rsidRPr="00ED17F4" w:rsidRDefault="001D59A9" w:rsidP="008329CB">
      <w:pPr>
        <w:pStyle w:val="a3"/>
        <w:numPr>
          <w:ilvl w:val="0"/>
          <w:numId w:val="11"/>
        </w:numPr>
        <w:snapToGrid w:val="0"/>
        <w:ind w:leftChars="0" w:left="993" w:hanging="709"/>
        <w:jc w:val="both"/>
        <w:rPr>
          <w:rFonts w:ascii="標楷體" w:eastAsia="標楷體" w:hAnsi="標楷體"/>
          <w:sz w:val="32"/>
        </w:rPr>
      </w:pPr>
      <w:r w:rsidRPr="00ED17F4">
        <w:rPr>
          <w:rFonts w:ascii="標楷體" w:eastAsia="標楷體" w:hAnsi="標楷體" w:hint="eastAsia"/>
          <w:sz w:val="32"/>
        </w:rPr>
        <w:t>按申請補（捐）助研究活動之類別，由本會業務相關單位，依活動屬性與當年度預算額度，建議補（捐）助額度，並會辦本會</w:t>
      </w:r>
      <w:r w:rsidR="003C2D01">
        <w:rPr>
          <w:rFonts w:ascii="標楷體" w:eastAsia="標楷體" w:hAnsi="標楷體" w:hint="eastAsia"/>
          <w:sz w:val="32"/>
        </w:rPr>
        <w:t>綜合規劃處</w:t>
      </w:r>
      <w:r w:rsidR="008329CB" w:rsidRPr="00ED17F4">
        <w:rPr>
          <w:rFonts w:ascii="標楷體" w:eastAsia="標楷體" w:hAnsi="標楷體" w:hint="eastAsia"/>
          <w:sz w:val="32"/>
        </w:rPr>
        <w:t>就年度整體經費支用情形表示意見</w:t>
      </w:r>
      <w:r w:rsidRPr="00ED17F4">
        <w:rPr>
          <w:rFonts w:ascii="標楷體" w:eastAsia="標楷體" w:hAnsi="標楷體" w:hint="eastAsia"/>
          <w:sz w:val="32"/>
        </w:rPr>
        <w:t>後，簽陳權責長官核定。</w:t>
      </w:r>
    </w:p>
    <w:p w14:paraId="676B96BD" w14:textId="131AF8BB" w:rsidR="001D59A9" w:rsidRPr="00ED17F4" w:rsidRDefault="001D59A9" w:rsidP="00114888">
      <w:pPr>
        <w:pStyle w:val="a3"/>
        <w:numPr>
          <w:ilvl w:val="0"/>
          <w:numId w:val="11"/>
        </w:numPr>
        <w:snapToGrid w:val="0"/>
        <w:ind w:leftChars="0" w:left="993" w:hanging="709"/>
        <w:jc w:val="both"/>
        <w:rPr>
          <w:rFonts w:ascii="標楷體" w:eastAsia="標楷體" w:hAnsi="標楷體"/>
          <w:sz w:val="32"/>
        </w:rPr>
      </w:pPr>
      <w:r w:rsidRPr="00ED17F4">
        <w:rPr>
          <w:rFonts w:ascii="標楷體" w:eastAsia="標楷體" w:hAnsi="標楷體" w:hint="eastAsia"/>
          <w:sz w:val="32"/>
        </w:rPr>
        <w:t>業務相關單位審查權責如下：</w:t>
      </w:r>
    </w:p>
    <w:p w14:paraId="75CC97A0" w14:textId="488262F4" w:rsidR="00E516DD" w:rsidRPr="00ED17F4" w:rsidRDefault="001D59A9" w:rsidP="00114888">
      <w:pPr>
        <w:pStyle w:val="a3"/>
        <w:numPr>
          <w:ilvl w:val="0"/>
          <w:numId w:val="12"/>
        </w:numPr>
        <w:snapToGrid w:val="0"/>
        <w:ind w:leftChars="0" w:left="993" w:hanging="426"/>
        <w:jc w:val="both"/>
        <w:rPr>
          <w:rFonts w:ascii="標楷體" w:eastAsia="標楷體" w:hAnsi="標楷體"/>
          <w:sz w:val="32"/>
        </w:rPr>
      </w:pPr>
      <w:r w:rsidRPr="00ED17F4">
        <w:rPr>
          <w:rFonts w:ascii="標楷體" w:eastAsia="標楷體" w:hAnsi="標楷體" w:hint="eastAsia"/>
          <w:sz w:val="32"/>
        </w:rPr>
        <w:t>綜合規劃處：與國家總體海洋政策、基本法令、跨機關海洋事務</w:t>
      </w:r>
      <w:r w:rsidR="00E516DD" w:rsidRPr="00ED17F4">
        <w:rPr>
          <w:rFonts w:ascii="標楷體" w:eastAsia="標楷體" w:hAnsi="標楷體" w:hint="eastAsia"/>
          <w:sz w:val="32"/>
        </w:rPr>
        <w:t>及</w:t>
      </w:r>
      <w:r w:rsidRPr="00ED17F4">
        <w:rPr>
          <w:rFonts w:ascii="標楷體" w:eastAsia="標楷體" w:hAnsi="標楷體" w:hint="eastAsia"/>
          <w:sz w:val="32"/>
        </w:rPr>
        <w:t>國內外海洋發展情勢相關之研究活動，或其他綜合性及不屬本會各業務單位業務範疇之海洋事務相關研究活動。</w:t>
      </w:r>
    </w:p>
    <w:p w14:paraId="756330E4" w14:textId="77777777" w:rsidR="00E516DD" w:rsidRPr="00ED17F4" w:rsidRDefault="001D59A9" w:rsidP="00114888">
      <w:pPr>
        <w:pStyle w:val="a3"/>
        <w:numPr>
          <w:ilvl w:val="0"/>
          <w:numId w:val="12"/>
        </w:numPr>
        <w:snapToGrid w:val="0"/>
        <w:ind w:leftChars="0" w:left="993" w:hanging="426"/>
        <w:jc w:val="both"/>
        <w:rPr>
          <w:rFonts w:ascii="標楷體" w:eastAsia="標楷體" w:hAnsi="標楷體"/>
          <w:sz w:val="32"/>
        </w:rPr>
      </w:pPr>
      <w:r w:rsidRPr="00ED17F4">
        <w:rPr>
          <w:rFonts w:ascii="標楷體" w:eastAsia="標楷體" w:hAnsi="標楷體" w:hint="eastAsia"/>
          <w:sz w:val="32"/>
        </w:rPr>
        <w:t>海域資源處：與海洋空間規劃、海洋生物資源管理與保育、海洋非生物資源之探勘與永續利用、海洋產業發展、海洋環境保護與污染防治及其他海洋資源事項相關之研究活動。</w:t>
      </w:r>
    </w:p>
    <w:p w14:paraId="029C4AE6" w14:textId="77777777" w:rsidR="00E516DD" w:rsidRPr="00ED17F4" w:rsidRDefault="001D59A9" w:rsidP="00114888">
      <w:pPr>
        <w:pStyle w:val="a3"/>
        <w:numPr>
          <w:ilvl w:val="0"/>
          <w:numId w:val="12"/>
        </w:numPr>
        <w:snapToGrid w:val="0"/>
        <w:ind w:leftChars="0" w:left="993" w:hanging="426"/>
        <w:jc w:val="both"/>
        <w:rPr>
          <w:rFonts w:ascii="標楷體" w:eastAsia="標楷體" w:hAnsi="標楷體"/>
          <w:sz w:val="32"/>
        </w:rPr>
      </w:pPr>
      <w:r w:rsidRPr="00ED17F4">
        <w:rPr>
          <w:rFonts w:ascii="標楷體" w:eastAsia="標楷體" w:hAnsi="標楷體" w:hint="eastAsia"/>
          <w:sz w:val="32"/>
        </w:rPr>
        <w:t>海域安全處：與海洋權益維護執法事務、海事安全維護事務及其他海域與海岸安全相關之研究活動。</w:t>
      </w:r>
    </w:p>
    <w:p w14:paraId="47ED36B3" w14:textId="77777777" w:rsidR="00E516DD" w:rsidRPr="00ED17F4" w:rsidRDefault="001D59A9" w:rsidP="00114888">
      <w:pPr>
        <w:pStyle w:val="a3"/>
        <w:numPr>
          <w:ilvl w:val="0"/>
          <w:numId w:val="12"/>
        </w:numPr>
        <w:snapToGrid w:val="0"/>
        <w:ind w:leftChars="0" w:left="993" w:hanging="426"/>
        <w:jc w:val="both"/>
        <w:rPr>
          <w:rFonts w:ascii="標楷體" w:eastAsia="標楷體" w:hAnsi="標楷體"/>
          <w:sz w:val="32"/>
        </w:rPr>
      </w:pPr>
      <w:r w:rsidRPr="00ED17F4">
        <w:rPr>
          <w:rFonts w:ascii="標楷體" w:eastAsia="標楷體" w:hAnsi="標楷體" w:hint="eastAsia"/>
          <w:sz w:val="32"/>
        </w:rPr>
        <w:t>科技文教處：與國家海洋教育發展與文化推展、海洋文化資產保存與保護、海洋科技專案成果之推廣及應用、海洋相關人力資源發展及其他科技文教事項相關之研究活動。</w:t>
      </w:r>
    </w:p>
    <w:p w14:paraId="27662921" w14:textId="786A9A9B" w:rsidR="00E516DD" w:rsidRPr="00ED17F4" w:rsidRDefault="001D59A9" w:rsidP="00114888">
      <w:pPr>
        <w:pStyle w:val="a3"/>
        <w:numPr>
          <w:ilvl w:val="0"/>
          <w:numId w:val="12"/>
        </w:numPr>
        <w:snapToGrid w:val="0"/>
        <w:ind w:leftChars="0" w:left="993" w:hanging="426"/>
        <w:jc w:val="both"/>
        <w:rPr>
          <w:rFonts w:ascii="標楷體" w:eastAsia="標楷體" w:hAnsi="標楷體"/>
          <w:sz w:val="32"/>
        </w:rPr>
      </w:pPr>
      <w:r w:rsidRPr="00ED17F4">
        <w:rPr>
          <w:rFonts w:ascii="標楷體" w:eastAsia="標楷體" w:hAnsi="標楷體" w:hint="eastAsia"/>
          <w:sz w:val="32"/>
        </w:rPr>
        <w:t>國際發展處：與國際海洋公約內國法化、對外海洋事務合作、交流與支援、海洋相關國際會議及其他海洋國際發展事項相關之研究活動。</w:t>
      </w:r>
    </w:p>
    <w:p w14:paraId="4CB2C41C" w14:textId="38A53177" w:rsidR="00E516DD" w:rsidRPr="004C3A98" w:rsidRDefault="00E516DD" w:rsidP="004C3A9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計畫變更：研究活動計畫如需變更，受補（捐）助單位應向本會</w:t>
      </w:r>
      <w:r w:rsidRPr="004C3A98">
        <w:rPr>
          <w:rFonts w:ascii="標楷體" w:eastAsia="標楷體" w:hAnsi="標楷體" w:hint="eastAsia"/>
          <w:sz w:val="32"/>
        </w:rPr>
        <w:t>提出變更申請，經</w:t>
      </w:r>
      <w:r w:rsidR="004C3A98" w:rsidRPr="004C3A98">
        <w:rPr>
          <w:rFonts w:ascii="標楷體" w:eastAsia="標楷體" w:hAnsi="標楷體" w:hint="eastAsia"/>
          <w:sz w:val="32"/>
        </w:rPr>
        <w:t>本會業務相關單位簽請權責長官</w:t>
      </w:r>
      <w:r w:rsidRPr="004C3A98">
        <w:rPr>
          <w:rFonts w:ascii="標楷體" w:eastAsia="標楷體" w:hAnsi="標楷體" w:hint="eastAsia"/>
          <w:sz w:val="32"/>
        </w:rPr>
        <w:t>同意後辦理。</w:t>
      </w:r>
    </w:p>
    <w:p w14:paraId="0CEB3CD3" w14:textId="77777777" w:rsidR="004C3A98" w:rsidRPr="004C3A98" w:rsidRDefault="00F26124"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cs="Times New Roman" w:hint="eastAsia"/>
          <w:sz w:val="32"/>
          <w:szCs w:val="24"/>
        </w:rPr>
        <w:t>結案：</w:t>
      </w:r>
    </w:p>
    <w:p w14:paraId="3A32D6BD" w14:textId="77777777" w:rsidR="004C3A98" w:rsidRDefault="00F26124" w:rsidP="004C3A98">
      <w:pPr>
        <w:pStyle w:val="a3"/>
        <w:numPr>
          <w:ilvl w:val="0"/>
          <w:numId w:val="14"/>
        </w:numPr>
        <w:snapToGrid w:val="0"/>
        <w:ind w:leftChars="0" w:left="993" w:hanging="709"/>
        <w:jc w:val="both"/>
        <w:rPr>
          <w:rFonts w:ascii="標楷體" w:eastAsia="標楷體" w:hAnsi="標楷體" w:cs="Times New Roman"/>
          <w:sz w:val="32"/>
          <w:szCs w:val="24"/>
        </w:rPr>
      </w:pPr>
      <w:r w:rsidRPr="00ED17F4">
        <w:rPr>
          <w:rFonts w:ascii="標楷體" w:eastAsia="標楷體" w:hAnsi="標楷體" w:cs="Times New Roman" w:hint="eastAsia"/>
          <w:sz w:val="32"/>
          <w:szCs w:val="24"/>
        </w:rPr>
        <w:t>受補（捐）助單位應於活動結束後一個月內，檢附成果報告十五份、光碟五份、收支報告表、領據及支出機關分攤表辦理經費結報。</w:t>
      </w:r>
    </w:p>
    <w:p w14:paraId="33086B5A" w14:textId="0C1B98D6" w:rsidR="004C3A98" w:rsidRPr="004C3A98" w:rsidRDefault="004C3A98" w:rsidP="004C3A98">
      <w:pPr>
        <w:pStyle w:val="a3"/>
        <w:numPr>
          <w:ilvl w:val="0"/>
          <w:numId w:val="14"/>
        </w:numPr>
        <w:snapToGrid w:val="0"/>
        <w:ind w:leftChars="0" w:left="993" w:hanging="709"/>
        <w:jc w:val="both"/>
        <w:rPr>
          <w:rFonts w:ascii="標楷體" w:eastAsia="標楷體" w:hAnsi="標楷體" w:cs="Times New Roman"/>
          <w:sz w:val="32"/>
          <w:szCs w:val="24"/>
        </w:rPr>
      </w:pPr>
      <w:r w:rsidRPr="004C3A98">
        <w:rPr>
          <w:rFonts w:ascii="標楷體" w:eastAsia="標楷體" w:hAnsi="標楷體" w:hint="eastAsia"/>
          <w:sz w:val="32"/>
        </w:rPr>
        <w:lastRenderedPageBreak/>
        <w:t>結案作業由本會業務相關單位辦理，</w:t>
      </w:r>
      <w:r w:rsidR="008A0F32">
        <w:rPr>
          <w:rFonts w:ascii="標楷體" w:eastAsia="標楷體" w:hAnsi="標楷體" w:hint="eastAsia"/>
          <w:sz w:val="32"/>
        </w:rPr>
        <w:t>並</w:t>
      </w:r>
      <w:r w:rsidRPr="004C3A98">
        <w:rPr>
          <w:rFonts w:ascii="標楷體" w:eastAsia="標楷體" w:hAnsi="標楷體" w:hint="eastAsia"/>
          <w:sz w:val="32"/>
        </w:rPr>
        <w:t>將結案公文影本、成果報告二份及光碟一份，送本會</w:t>
      </w:r>
      <w:r w:rsidR="003C2D01">
        <w:rPr>
          <w:rFonts w:ascii="標楷體" w:eastAsia="標楷體" w:hAnsi="標楷體" w:hint="eastAsia"/>
          <w:sz w:val="32"/>
        </w:rPr>
        <w:t>綜合規劃處</w:t>
      </w:r>
      <w:r w:rsidRPr="004C3A98">
        <w:rPr>
          <w:rFonts w:ascii="標楷體" w:eastAsia="標楷體" w:hAnsi="標楷體" w:hint="eastAsia"/>
          <w:sz w:val="32"/>
        </w:rPr>
        <w:t>辦理後續資料公開事宜。</w:t>
      </w:r>
    </w:p>
    <w:p w14:paraId="3C5DFB7A" w14:textId="597F1B51" w:rsidR="00F26124" w:rsidRPr="00ED17F4" w:rsidRDefault="00F26124"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cs="Times New Roman" w:hint="eastAsia"/>
          <w:sz w:val="32"/>
          <w:szCs w:val="24"/>
        </w:rPr>
        <w:t>督導及考核：本會業務相關單位應於補（捐）助之研究活動辦理期間督導該計畫或活動，考核其績效，並選定適當績效衡量指標，作為未來辦理補（捐）助案件成果考核及效益評估之參據。</w:t>
      </w:r>
    </w:p>
    <w:p w14:paraId="0E5D89E2" w14:textId="68D7FABF" w:rsidR="00F26124" w:rsidRPr="00ED17F4" w:rsidRDefault="00F26124" w:rsidP="00114888">
      <w:pPr>
        <w:pStyle w:val="a3"/>
        <w:numPr>
          <w:ilvl w:val="0"/>
          <w:numId w:val="1"/>
        </w:numPr>
        <w:snapToGrid w:val="0"/>
        <w:ind w:leftChars="0" w:left="709" w:hanging="709"/>
        <w:jc w:val="both"/>
        <w:rPr>
          <w:rFonts w:ascii="標楷體" w:eastAsia="標楷體" w:hAnsi="標楷體"/>
          <w:sz w:val="32"/>
        </w:rPr>
      </w:pPr>
      <w:r w:rsidRPr="00ED17F4">
        <w:rPr>
          <w:rFonts w:ascii="標楷體" w:eastAsia="標楷體" w:hAnsi="標楷體" w:hint="eastAsia"/>
          <w:sz w:val="32"/>
        </w:rPr>
        <w:t>公開程序：本會</w:t>
      </w:r>
      <w:r w:rsidR="003C2D01">
        <w:rPr>
          <w:rFonts w:ascii="標楷體" w:eastAsia="標楷體" w:hAnsi="標楷體" w:hint="eastAsia"/>
          <w:sz w:val="32"/>
        </w:rPr>
        <w:t>綜合規劃處</w:t>
      </w:r>
      <w:r w:rsidRPr="00ED17F4">
        <w:rPr>
          <w:rFonts w:ascii="標楷體" w:eastAsia="標楷體" w:hAnsi="標楷體" w:hint="eastAsia"/>
          <w:sz w:val="32"/>
        </w:rPr>
        <w:t>對補（捐）助案件，應按季將補（捐）助事項、補（捐）助對象、核准日期、補（捐）助金額及相關開支明細（含累積金額）等資訊，送立法院備查，並公告於本會全球資訊網。</w:t>
      </w:r>
    </w:p>
    <w:p w14:paraId="41415D85" w14:textId="144FA3E9" w:rsidR="00F26124" w:rsidRPr="00ED17F4" w:rsidRDefault="00F26124" w:rsidP="00114888">
      <w:pPr>
        <w:pStyle w:val="a3"/>
        <w:numPr>
          <w:ilvl w:val="0"/>
          <w:numId w:val="1"/>
        </w:numPr>
        <w:snapToGrid w:val="0"/>
        <w:ind w:leftChars="0" w:left="993" w:hanging="993"/>
        <w:jc w:val="both"/>
        <w:rPr>
          <w:rFonts w:ascii="標楷體" w:eastAsia="標楷體" w:hAnsi="標楷體"/>
          <w:sz w:val="32"/>
        </w:rPr>
      </w:pPr>
      <w:r w:rsidRPr="00ED17F4">
        <w:rPr>
          <w:rFonts w:ascii="標楷體" w:eastAsia="標楷體" w:hAnsi="標楷體" w:hint="eastAsia"/>
          <w:sz w:val="32"/>
        </w:rPr>
        <w:t>研究</w:t>
      </w:r>
      <w:r w:rsidR="00345B95" w:rsidRPr="00ED17F4">
        <w:rPr>
          <w:rFonts w:ascii="標楷體" w:eastAsia="標楷體" w:hAnsi="標楷體" w:hint="eastAsia"/>
          <w:sz w:val="32"/>
        </w:rPr>
        <w:t>活動</w:t>
      </w:r>
      <w:r w:rsidRPr="00ED17F4">
        <w:rPr>
          <w:rFonts w:ascii="標楷體" w:eastAsia="標楷體" w:hAnsi="標楷體" w:hint="eastAsia"/>
          <w:sz w:val="32"/>
        </w:rPr>
        <w:t>涉及機密事項，受補（捐）助單位應建立安全管制制度，並應遵守相關法令規定與本會相關保密要求。</w:t>
      </w:r>
    </w:p>
    <w:p w14:paraId="7524464B" w14:textId="75D0B4E8" w:rsidR="00F26124" w:rsidRPr="00ED17F4" w:rsidRDefault="00F26124" w:rsidP="00114888">
      <w:pPr>
        <w:pStyle w:val="a3"/>
        <w:numPr>
          <w:ilvl w:val="0"/>
          <w:numId w:val="1"/>
        </w:numPr>
        <w:snapToGrid w:val="0"/>
        <w:ind w:leftChars="0" w:left="993" w:hanging="993"/>
        <w:jc w:val="both"/>
        <w:rPr>
          <w:rFonts w:ascii="標楷體" w:eastAsia="標楷體" w:hAnsi="標楷體"/>
          <w:sz w:val="32"/>
        </w:rPr>
      </w:pPr>
      <w:r w:rsidRPr="00ED17F4">
        <w:rPr>
          <w:rFonts w:ascii="標楷體" w:eastAsia="標楷體" w:hAnsi="標楷體" w:hint="eastAsia"/>
          <w:sz w:val="32"/>
        </w:rPr>
        <w:t>受本會補（捐）助之研究</w:t>
      </w:r>
      <w:r w:rsidR="00345B95" w:rsidRPr="00ED17F4">
        <w:rPr>
          <w:rFonts w:ascii="標楷體" w:eastAsia="標楷體" w:hAnsi="標楷體" w:hint="eastAsia"/>
          <w:sz w:val="32"/>
        </w:rPr>
        <w:t>活動</w:t>
      </w:r>
      <w:r w:rsidRPr="00ED17F4">
        <w:rPr>
          <w:rFonts w:ascii="標楷體" w:eastAsia="標楷體" w:hAnsi="標楷體" w:hint="eastAsia"/>
          <w:sz w:val="32"/>
        </w:rPr>
        <w:t>，本會得引用研究</w:t>
      </w:r>
      <w:r w:rsidR="00345B95" w:rsidRPr="00ED17F4">
        <w:rPr>
          <w:rFonts w:ascii="標楷體" w:eastAsia="標楷體" w:hAnsi="標楷體" w:hint="eastAsia"/>
          <w:sz w:val="32"/>
        </w:rPr>
        <w:t>成果及</w:t>
      </w:r>
      <w:r w:rsidRPr="00ED17F4">
        <w:rPr>
          <w:rFonts w:ascii="標楷體" w:eastAsia="標楷體" w:hAnsi="標楷體" w:hint="eastAsia"/>
          <w:sz w:val="32"/>
        </w:rPr>
        <w:t>內容</w:t>
      </w:r>
      <w:r w:rsidR="00345B95" w:rsidRPr="00ED17F4">
        <w:rPr>
          <w:rFonts w:ascii="標楷體" w:eastAsia="標楷體" w:hAnsi="標楷體" w:hint="eastAsia"/>
          <w:sz w:val="32"/>
        </w:rPr>
        <w:t>，</w:t>
      </w:r>
      <w:r w:rsidRPr="00ED17F4">
        <w:rPr>
          <w:rFonts w:ascii="標楷體" w:eastAsia="標楷體" w:hAnsi="標楷體" w:hint="eastAsia"/>
          <w:sz w:val="32"/>
        </w:rPr>
        <w:t>並可作為施政參考。</w:t>
      </w:r>
    </w:p>
    <w:p w14:paraId="57CF22D4" w14:textId="54810832" w:rsidR="00F26124" w:rsidRPr="00ED17F4" w:rsidRDefault="00F26124" w:rsidP="00114888">
      <w:pPr>
        <w:pStyle w:val="a3"/>
        <w:numPr>
          <w:ilvl w:val="0"/>
          <w:numId w:val="1"/>
        </w:numPr>
        <w:snapToGrid w:val="0"/>
        <w:ind w:leftChars="0" w:left="993" w:hanging="993"/>
        <w:jc w:val="both"/>
        <w:rPr>
          <w:rFonts w:ascii="標楷體" w:eastAsia="標楷體" w:hAnsi="標楷體"/>
          <w:sz w:val="32"/>
        </w:rPr>
      </w:pPr>
      <w:r w:rsidRPr="00ED17F4">
        <w:rPr>
          <w:rFonts w:ascii="標楷體" w:eastAsia="標楷體" w:hAnsi="標楷體" w:hint="eastAsia"/>
          <w:sz w:val="32"/>
        </w:rPr>
        <w:t>受補（捐）助單位未遵守本要點規定，本會得視情節輕重酌予減少補（捐）助金額。</w:t>
      </w:r>
    </w:p>
    <w:sectPr w:rsidR="00F26124" w:rsidRPr="00ED17F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B986" w14:textId="77777777" w:rsidR="005D747F" w:rsidRDefault="005D747F" w:rsidP="00C36998">
      <w:r>
        <w:separator/>
      </w:r>
    </w:p>
  </w:endnote>
  <w:endnote w:type="continuationSeparator" w:id="0">
    <w:p w14:paraId="62B7E0A1" w14:textId="77777777" w:rsidR="005D747F" w:rsidRDefault="005D747F" w:rsidP="00C3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1665"/>
      <w:docPartObj>
        <w:docPartGallery w:val="Page Numbers (Bottom of Page)"/>
        <w:docPartUnique/>
      </w:docPartObj>
    </w:sdtPr>
    <w:sdtEndPr/>
    <w:sdtContent>
      <w:p w14:paraId="40B1BF18" w14:textId="65B6B659" w:rsidR="00C36998" w:rsidRDefault="00C36998">
        <w:pPr>
          <w:pStyle w:val="a9"/>
          <w:jc w:val="center"/>
        </w:pPr>
        <w:r>
          <w:fldChar w:fldCharType="begin"/>
        </w:r>
        <w:r>
          <w:instrText>PAGE   \* MERGEFORMAT</w:instrText>
        </w:r>
        <w:r>
          <w:fldChar w:fldCharType="separate"/>
        </w:r>
        <w:r w:rsidR="004132CA" w:rsidRPr="004132CA">
          <w:rPr>
            <w:noProof/>
            <w:lang w:val="zh-TW"/>
          </w:rPr>
          <w:t>2</w:t>
        </w:r>
        <w:r>
          <w:fldChar w:fldCharType="end"/>
        </w:r>
      </w:p>
    </w:sdtContent>
  </w:sdt>
  <w:p w14:paraId="05DDC9F0" w14:textId="77777777" w:rsidR="00C36998" w:rsidRDefault="00C369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D22A" w14:textId="77777777" w:rsidR="005D747F" w:rsidRDefault="005D747F" w:rsidP="00C36998">
      <w:r>
        <w:separator/>
      </w:r>
    </w:p>
  </w:footnote>
  <w:footnote w:type="continuationSeparator" w:id="0">
    <w:p w14:paraId="3778DA55" w14:textId="77777777" w:rsidR="005D747F" w:rsidRDefault="005D747F" w:rsidP="00C36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99"/>
    <w:multiLevelType w:val="hybridMultilevel"/>
    <w:tmpl w:val="43C68E30"/>
    <w:lvl w:ilvl="0" w:tplc="FCBC85BE">
      <w:start w:val="1"/>
      <w:numFmt w:val="taiwaneseCountingThousand"/>
      <w:lvlText w:val="(%1)"/>
      <w:lvlJc w:val="left"/>
      <w:pPr>
        <w:ind w:left="722" w:hanging="720"/>
      </w:pPr>
      <w:rPr>
        <w:rFonts w:hint="default"/>
        <w:color w:val="auto"/>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1502224B"/>
    <w:multiLevelType w:val="hybridMultilevel"/>
    <w:tmpl w:val="D1146D52"/>
    <w:lvl w:ilvl="0" w:tplc="F69EBB44">
      <w:start w:val="1"/>
      <w:numFmt w:val="decimal"/>
      <w:lvlText w:val="%1."/>
      <w:lvlJc w:val="left"/>
      <w:pPr>
        <w:ind w:left="1782" w:hanging="360"/>
      </w:pPr>
      <w:rPr>
        <w:rFonts w:hint="default"/>
      </w:rPr>
    </w:lvl>
    <w:lvl w:ilvl="1" w:tplc="04090019" w:tentative="1">
      <w:start w:val="1"/>
      <w:numFmt w:val="ideographTraditional"/>
      <w:lvlText w:val="%2、"/>
      <w:lvlJc w:val="left"/>
      <w:pPr>
        <w:ind w:left="2382" w:hanging="480"/>
      </w:pPr>
    </w:lvl>
    <w:lvl w:ilvl="2" w:tplc="0409001B" w:tentative="1">
      <w:start w:val="1"/>
      <w:numFmt w:val="lowerRoman"/>
      <w:lvlText w:val="%3."/>
      <w:lvlJc w:val="right"/>
      <w:pPr>
        <w:ind w:left="2862" w:hanging="480"/>
      </w:pPr>
    </w:lvl>
    <w:lvl w:ilvl="3" w:tplc="0409000F" w:tentative="1">
      <w:start w:val="1"/>
      <w:numFmt w:val="decimal"/>
      <w:lvlText w:val="%4."/>
      <w:lvlJc w:val="left"/>
      <w:pPr>
        <w:ind w:left="3342" w:hanging="480"/>
      </w:pPr>
    </w:lvl>
    <w:lvl w:ilvl="4" w:tplc="04090019" w:tentative="1">
      <w:start w:val="1"/>
      <w:numFmt w:val="ideographTraditional"/>
      <w:lvlText w:val="%5、"/>
      <w:lvlJc w:val="left"/>
      <w:pPr>
        <w:ind w:left="3822" w:hanging="480"/>
      </w:pPr>
    </w:lvl>
    <w:lvl w:ilvl="5" w:tplc="0409001B" w:tentative="1">
      <w:start w:val="1"/>
      <w:numFmt w:val="lowerRoman"/>
      <w:lvlText w:val="%6."/>
      <w:lvlJc w:val="right"/>
      <w:pPr>
        <w:ind w:left="4302" w:hanging="480"/>
      </w:pPr>
    </w:lvl>
    <w:lvl w:ilvl="6" w:tplc="0409000F" w:tentative="1">
      <w:start w:val="1"/>
      <w:numFmt w:val="decimal"/>
      <w:lvlText w:val="%7."/>
      <w:lvlJc w:val="left"/>
      <w:pPr>
        <w:ind w:left="4782" w:hanging="480"/>
      </w:pPr>
    </w:lvl>
    <w:lvl w:ilvl="7" w:tplc="04090019" w:tentative="1">
      <w:start w:val="1"/>
      <w:numFmt w:val="ideographTraditional"/>
      <w:lvlText w:val="%8、"/>
      <w:lvlJc w:val="left"/>
      <w:pPr>
        <w:ind w:left="5262" w:hanging="480"/>
      </w:pPr>
    </w:lvl>
    <w:lvl w:ilvl="8" w:tplc="0409001B" w:tentative="1">
      <w:start w:val="1"/>
      <w:numFmt w:val="lowerRoman"/>
      <w:lvlText w:val="%9."/>
      <w:lvlJc w:val="right"/>
      <w:pPr>
        <w:ind w:left="5742" w:hanging="480"/>
      </w:pPr>
    </w:lvl>
  </w:abstractNum>
  <w:abstractNum w:abstractNumId="2">
    <w:nsid w:val="15591FDF"/>
    <w:multiLevelType w:val="hybridMultilevel"/>
    <w:tmpl w:val="D1844434"/>
    <w:lvl w:ilvl="0" w:tplc="B6789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2D16D1"/>
    <w:multiLevelType w:val="hybridMultilevel"/>
    <w:tmpl w:val="D938BAEA"/>
    <w:lvl w:ilvl="0" w:tplc="0106B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2F79FD"/>
    <w:multiLevelType w:val="hybridMultilevel"/>
    <w:tmpl w:val="3A5C3A38"/>
    <w:lvl w:ilvl="0" w:tplc="F7B22170">
      <w:start w:val="1"/>
      <w:numFmt w:val="decimal"/>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nsid w:val="574A03D6"/>
    <w:multiLevelType w:val="hybridMultilevel"/>
    <w:tmpl w:val="D938BAEA"/>
    <w:lvl w:ilvl="0" w:tplc="0106B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6A46CF"/>
    <w:multiLevelType w:val="hybridMultilevel"/>
    <w:tmpl w:val="C186B23A"/>
    <w:lvl w:ilvl="0" w:tplc="EE9C7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A3553C"/>
    <w:multiLevelType w:val="hybridMultilevel"/>
    <w:tmpl w:val="F8B86722"/>
    <w:lvl w:ilvl="0" w:tplc="A21697D2">
      <w:start w:val="1"/>
      <w:numFmt w:val="taiwaneseCountingThousand"/>
      <w:lvlText w:val="（%1）"/>
      <w:lvlJc w:val="left"/>
      <w:pPr>
        <w:ind w:left="825" w:hanging="825"/>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606C20"/>
    <w:multiLevelType w:val="hybridMultilevel"/>
    <w:tmpl w:val="DEEA7060"/>
    <w:lvl w:ilvl="0" w:tplc="B42A2708">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21558E6"/>
    <w:multiLevelType w:val="hybridMultilevel"/>
    <w:tmpl w:val="54883C86"/>
    <w:lvl w:ilvl="0" w:tplc="268AC0AE">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76CD6161"/>
    <w:multiLevelType w:val="hybridMultilevel"/>
    <w:tmpl w:val="D938BAEA"/>
    <w:lvl w:ilvl="0" w:tplc="0106B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DA6124"/>
    <w:multiLevelType w:val="hybridMultilevel"/>
    <w:tmpl w:val="93F4A622"/>
    <w:lvl w:ilvl="0" w:tplc="9A400B4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7CE129A4"/>
    <w:multiLevelType w:val="hybridMultilevel"/>
    <w:tmpl w:val="24D2E5B4"/>
    <w:lvl w:ilvl="0" w:tplc="A10E0F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D0C08D6"/>
    <w:multiLevelType w:val="hybridMultilevel"/>
    <w:tmpl w:val="A18C078A"/>
    <w:lvl w:ilvl="0" w:tplc="E580FF7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6"/>
  </w:num>
  <w:num w:numId="2">
    <w:abstractNumId w:val="9"/>
  </w:num>
  <w:num w:numId="3">
    <w:abstractNumId w:val="1"/>
  </w:num>
  <w:num w:numId="4">
    <w:abstractNumId w:val="5"/>
  </w:num>
  <w:num w:numId="5">
    <w:abstractNumId w:val="12"/>
  </w:num>
  <w:num w:numId="6">
    <w:abstractNumId w:val="3"/>
  </w:num>
  <w:num w:numId="7">
    <w:abstractNumId w:val="10"/>
  </w:num>
  <w:num w:numId="8">
    <w:abstractNumId w:val="2"/>
  </w:num>
  <w:num w:numId="9">
    <w:abstractNumId w:val="7"/>
  </w:num>
  <w:num w:numId="10">
    <w:abstractNumId w:val="13"/>
  </w:num>
  <w:num w:numId="11">
    <w:abstractNumId w:val="0"/>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CC"/>
    <w:rsid w:val="000538D9"/>
    <w:rsid w:val="000A2726"/>
    <w:rsid w:val="000A6C3F"/>
    <w:rsid w:val="000B6EB6"/>
    <w:rsid w:val="000C37AE"/>
    <w:rsid w:val="00114888"/>
    <w:rsid w:val="001A03D8"/>
    <w:rsid w:val="001D59A9"/>
    <w:rsid w:val="00263EC1"/>
    <w:rsid w:val="002C17A5"/>
    <w:rsid w:val="002D2788"/>
    <w:rsid w:val="0033235A"/>
    <w:rsid w:val="00344661"/>
    <w:rsid w:val="00345B95"/>
    <w:rsid w:val="003B6E00"/>
    <w:rsid w:val="003C2D01"/>
    <w:rsid w:val="004132CA"/>
    <w:rsid w:val="004C3A98"/>
    <w:rsid w:val="00565DCC"/>
    <w:rsid w:val="005D747F"/>
    <w:rsid w:val="00664F5A"/>
    <w:rsid w:val="006F4546"/>
    <w:rsid w:val="0075265A"/>
    <w:rsid w:val="007D6EB5"/>
    <w:rsid w:val="008329CB"/>
    <w:rsid w:val="00850D98"/>
    <w:rsid w:val="00880CF2"/>
    <w:rsid w:val="008A0F32"/>
    <w:rsid w:val="008A4165"/>
    <w:rsid w:val="0091289B"/>
    <w:rsid w:val="009B3147"/>
    <w:rsid w:val="00A27910"/>
    <w:rsid w:val="00AD4EAB"/>
    <w:rsid w:val="00B221BF"/>
    <w:rsid w:val="00B852B6"/>
    <w:rsid w:val="00BD42CC"/>
    <w:rsid w:val="00C0309F"/>
    <w:rsid w:val="00C2097C"/>
    <w:rsid w:val="00C36998"/>
    <w:rsid w:val="00E516DD"/>
    <w:rsid w:val="00ED17F4"/>
    <w:rsid w:val="00F22A13"/>
    <w:rsid w:val="00F26124"/>
    <w:rsid w:val="00F44CB0"/>
    <w:rsid w:val="00F70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9F"/>
    <w:pPr>
      <w:ind w:leftChars="200" w:left="480"/>
    </w:pPr>
  </w:style>
  <w:style w:type="paragraph" w:customStyle="1" w:styleId="a4">
    <w:name w:val="一"/>
    <w:basedOn w:val="a"/>
    <w:rsid w:val="00C0309F"/>
    <w:pPr>
      <w:spacing w:line="440" w:lineRule="exact"/>
      <w:jc w:val="both"/>
    </w:pPr>
    <w:rPr>
      <w:rFonts w:ascii="標楷體" w:eastAsia="標楷體" w:hAnsi="Times New Roman" w:cs="Times New Roman"/>
      <w:sz w:val="28"/>
      <w:szCs w:val="24"/>
    </w:rPr>
  </w:style>
  <w:style w:type="paragraph" w:styleId="a5">
    <w:name w:val="Balloon Text"/>
    <w:basedOn w:val="a"/>
    <w:link w:val="a6"/>
    <w:uiPriority w:val="99"/>
    <w:semiHidden/>
    <w:unhideWhenUsed/>
    <w:rsid w:val="001148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14888"/>
    <w:rPr>
      <w:rFonts w:asciiTheme="majorHAnsi" w:eastAsiaTheme="majorEastAsia" w:hAnsiTheme="majorHAnsi" w:cstheme="majorBidi"/>
      <w:sz w:val="18"/>
      <w:szCs w:val="18"/>
    </w:rPr>
  </w:style>
  <w:style w:type="paragraph" w:styleId="a7">
    <w:name w:val="header"/>
    <w:basedOn w:val="a"/>
    <w:link w:val="a8"/>
    <w:uiPriority w:val="99"/>
    <w:unhideWhenUsed/>
    <w:rsid w:val="00C36998"/>
    <w:pPr>
      <w:tabs>
        <w:tab w:val="center" w:pos="4153"/>
        <w:tab w:val="right" w:pos="8306"/>
      </w:tabs>
      <w:snapToGrid w:val="0"/>
    </w:pPr>
    <w:rPr>
      <w:sz w:val="20"/>
      <w:szCs w:val="20"/>
    </w:rPr>
  </w:style>
  <w:style w:type="character" w:customStyle="1" w:styleId="a8">
    <w:name w:val="頁首 字元"/>
    <w:basedOn w:val="a0"/>
    <w:link w:val="a7"/>
    <w:uiPriority w:val="99"/>
    <w:rsid w:val="00C36998"/>
    <w:rPr>
      <w:sz w:val="20"/>
      <w:szCs w:val="20"/>
    </w:rPr>
  </w:style>
  <w:style w:type="paragraph" w:styleId="a9">
    <w:name w:val="footer"/>
    <w:basedOn w:val="a"/>
    <w:link w:val="aa"/>
    <w:uiPriority w:val="99"/>
    <w:unhideWhenUsed/>
    <w:rsid w:val="00C36998"/>
    <w:pPr>
      <w:tabs>
        <w:tab w:val="center" w:pos="4153"/>
        <w:tab w:val="right" w:pos="8306"/>
      </w:tabs>
      <w:snapToGrid w:val="0"/>
    </w:pPr>
    <w:rPr>
      <w:sz w:val="20"/>
      <w:szCs w:val="20"/>
    </w:rPr>
  </w:style>
  <w:style w:type="character" w:customStyle="1" w:styleId="aa">
    <w:name w:val="頁尾 字元"/>
    <w:basedOn w:val="a0"/>
    <w:link w:val="a9"/>
    <w:uiPriority w:val="99"/>
    <w:rsid w:val="00C369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9F"/>
    <w:pPr>
      <w:ind w:leftChars="200" w:left="480"/>
    </w:pPr>
  </w:style>
  <w:style w:type="paragraph" w:customStyle="1" w:styleId="a4">
    <w:name w:val="一"/>
    <w:basedOn w:val="a"/>
    <w:rsid w:val="00C0309F"/>
    <w:pPr>
      <w:spacing w:line="440" w:lineRule="exact"/>
      <w:jc w:val="both"/>
    </w:pPr>
    <w:rPr>
      <w:rFonts w:ascii="標楷體" w:eastAsia="標楷體" w:hAnsi="Times New Roman" w:cs="Times New Roman"/>
      <w:sz w:val="28"/>
      <w:szCs w:val="24"/>
    </w:rPr>
  </w:style>
  <w:style w:type="paragraph" w:styleId="a5">
    <w:name w:val="Balloon Text"/>
    <w:basedOn w:val="a"/>
    <w:link w:val="a6"/>
    <w:uiPriority w:val="99"/>
    <w:semiHidden/>
    <w:unhideWhenUsed/>
    <w:rsid w:val="001148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14888"/>
    <w:rPr>
      <w:rFonts w:asciiTheme="majorHAnsi" w:eastAsiaTheme="majorEastAsia" w:hAnsiTheme="majorHAnsi" w:cstheme="majorBidi"/>
      <w:sz w:val="18"/>
      <w:szCs w:val="18"/>
    </w:rPr>
  </w:style>
  <w:style w:type="paragraph" w:styleId="a7">
    <w:name w:val="header"/>
    <w:basedOn w:val="a"/>
    <w:link w:val="a8"/>
    <w:uiPriority w:val="99"/>
    <w:unhideWhenUsed/>
    <w:rsid w:val="00C36998"/>
    <w:pPr>
      <w:tabs>
        <w:tab w:val="center" w:pos="4153"/>
        <w:tab w:val="right" w:pos="8306"/>
      </w:tabs>
      <w:snapToGrid w:val="0"/>
    </w:pPr>
    <w:rPr>
      <w:sz w:val="20"/>
      <w:szCs w:val="20"/>
    </w:rPr>
  </w:style>
  <w:style w:type="character" w:customStyle="1" w:styleId="a8">
    <w:name w:val="頁首 字元"/>
    <w:basedOn w:val="a0"/>
    <w:link w:val="a7"/>
    <w:uiPriority w:val="99"/>
    <w:rsid w:val="00C36998"/>
    <w:rPr>
      <w:sz w:val="20"/>
      <w:szCs w:val="20"/>
    </w:rPr>
  </w:style>
  <w:style w:type="paragraph" w:styleId="a9">
    <w:name w:val="footer"/>
    <w:basedOn w:val="a"/>
    <w:link w:val="aa"/>
    <w:uiPriority w:val="99"/>
    <w:unhideWhenUsed/>
    <w:rsid w:val="00C36998"/>
    <w:pPr>
      <w:tabs>
        <w:tab w:val="center" w:pos="4153"/>
        <w:tab w:val="right" w:pos="8306"/>
      </w:tabs>
      <w:snapToGrid w:val="0"/>
    </w:pPr>
    <w:rPr>
      <w:sz w:val="20"/>
      <w:szCs w:val="20"/>
    </w:rPr>
  </w:style>
  <w:style w:type="character" w:customStyle="1" w:styleId="aa">
    <w:name w:val="頁尾 字元"/>
    <w:basedOn w:val="a0"/>
    <w:link w:val="a9"/>
    <w:uiPriority w:val="99"/>
    <w:rsid w:val="00C369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徐祥航</dc:creator>
  <cp:lastModifiedBy>鍾素明</cp:lastModifiedBy>
  <cp:revision>1</cp:revision>
  <cp:lastPrinted>2018-05-15T01:54:00Z</cp:lastPrinted>
  <dcterms:created xsi:type="dcterms:W3CDTF">2018-05-03T06:58:00Z</dcterms:created>
  <dcterms:modified xsi:type="dcterms:W3CDTF">2018-05-24T02:27:00Z</dcterms:modified>
</cp:coreProperties>
</file>